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cs="宋体"/>
          <w:bCs/>
          <w:sz w:val="84"/>
          <w:szCs w:val="84"/>
        </w:rPr>
      </w:pPr>
    </w:p>
    <w:p>
      <w:pPr>
        <w:jc w:val="center"/>
        <w:rPr>
          <w:rFonts w:ascii="微软雅黑" w:hAnsi="微软雅黑" w:eastAsia="微软雅黑" w:cs="微软雅黑"/>
          <w:bCs/>
          <w:sz w:val="84"/>
          <w:szCs w:val="84"/>
        </w:rPr>
      </w:pPr>
      <w:r>
        <w:rPr>
          <w:rFonts w:hint="eastAsia" w:ascii="微软雅黑" w:hAnsi="微软雅黑" w:eastAsia="微软雅黑" w:cs="微软雅黑"/>
          <w:bCs/>
          <w:sz w:val="84"/>
          <w:szCs w:val="84"/>
        </w:rPr>
        <w:t>郑州市中等职业教育</w:t>
      </w:r>
    </w:p>
    <w:p>
      <w:pPr>
        <w:jc w:val="center"/>
        <w:rPr>
          <w:rFonts w:ascii="微软雅黑" w:hAnsi="微软雅黑" w:eastAsia="微软雅黑" w:cs="微软雅黑"/>
          <w:bCs/>
          <w:sz w:val="72"/>
          <w:szCs w:val="72"/>
        </w:rPr>
      </w:pPr>
      <w:r>
        <w:rPr>
          <w:rFonts w:hint="eastAsia" w:ascii="微软雅黑" w:hAnsi="微软雅黑" w:eastAsia="微软雅黑" w:cs="微软雅黑"/>
          <w:bCs/>
          <w:sz w:val="72"/>
          <w:szCs w:val="72"/>
        </w:rPr>
        <w:t>质量年度报告</w:t>
      </w:r>
    </w:p>
    <w:p>
      <w:pPr>
        <w:jc w:val="center"/>
        <w:rPr>
          <w:rFonts w:ascii="微软雅黑" w:hAnsi="微软雅黑" w:eastAsia="微软雅黑" w:cs="微软雅黑"/>
          <w:bCs/>
          <w:sz w:val="48"/>
          <w:szCs w:val="48"/>
        </w:rPr>
      </w:pPr>
      <w:r>
        <w:rPr>
          <w:rFonts w:hint="eastAsia" w:ascii="微软雅黑" w:hAnsi="微软雅黑" w:eastAsia="微软雅黑" w:cs="微软雅黑"/>
          <w:bCs/>
          <w:sz w:val="52"/>
          <w:szCs w:val="52"/>
        </w:rPr>
        <w:t>（2020年）</w:t>
      </w:r>
    </w:p>
    <w:p>
      <w:pPr>
        <w:ind w:left="480"/>
        <w:jc w:val="center"/>
      </w:pPr>
    </w:p>
    <w:p>
      <w:pPr>
        <w:ind w:left="480"/>
        <w:jc w:val="center"/>
      </w:pPr>
    </w:p>
    <w:p>
      <w:pPr>
        <w:ind w:left="480"/>
        <w:jc w:val="center"/>
      </w:pPr>
    </w:p>
    <w:p>
      <w:pPr>
        <w:ind w:left="480"/>
        <w:jc w:val="center"/>
        <w:rPr>
          <w:sz w:val="48"/>
          <w:szCs w:val="48"/>
        </w:rPr>
      </w:pPr>
    </w:p>
    <w:p>
      <w:pPr>
        <w:rPr>
          <w:rFonts w:ascii="微软雅黑" w:hAnsi="微软雅黑" w:eastAsia="微软雅黑"/>
          <w:sz w:val="48"/>
          <w:szCs w:val="48"/>
        </w:rPr>
      </w:pPr>
    </w:p>
    <w:p>
      <w:pPr>
        <w:ind w:left="480"/>
        <w:jc w:val="center"/>
        <w:rPr>
          <w:rFonts w:ascii="微软雅黑" w:hAnsi="微软雅黑" w:eastAsia="微软雅黑"/>
          <w:sz w:val="48"/>
          <w:szCs w:val="48"/>
        </w:rPr>
      </w:pPr>
    </w:p>
    <w:p>
      <w:pPr>
        <w:rPr>
          <w:rFonts w:ascii="微软雅黑" w:hAnsi="微软雅黑" w:eastAsia="微软雅黑" w:cs="微软雅黑"/>
          <w:sz w:val="48"/>
          <w:szCs w:val="48"/>
        </w:rPr>
      </w:pPr>
    </w:p>
    <w:p>
      <w:pPr>
        <w:jc w:val="center"/>
        <w:rPr>
          <w:rFonts w:ascii="微软雅黑" w:hAnsi="微软雅黑" w:eastAsia="微软雅黑" w:cs="微软雅黑"/>
          <w:sz w:val="48"/>
          <w:szCs w:val="48"/>
        </w:rPr>
      </w:pPr>
      <w:r>
        <w:rPr>
          <w:rFonts w:hint="eastAsia" w:ascii="微软雅黑" w:hAnsi="微软雅黑" w:eastAsia="微软雅黑" w:cs="微软雅黑"/>
          <w:sz w:val="48"/>
          <w:szCs w:val="48"/>
        </w:rPr>
        <w:t>郑州市教育局</w:t>
      </w:r>
    </w:p>
    <w:p>
      <w:pPr>
        <w:jc w:val="center"/>
        <w:rPr>
          <w:rFonts w:ascii="微软雅黑" w:hAnsi="微软雅黑" w:eastAsia="微软雅黑" w:cs="微软雅黑"/>
          <w:sz w:val="48"/>
          <w:szCs w:val="48"/>
          <w:lang w:val="zh-CN"/>
        </w:rPr>
      </w:pPr>
      <w:r>
        <w:rPr>
          <w:rFonts w:hint="eastAsia" w:ascii="微软雅黑" w:hAnsi="微软雅黑" w:eastAsia="微软雅黑" w:cs="微软雅黑"/>
          <w:sz w:val="48"/>
          <w:szCs w:val="48"/>
        </w:rPr>
        <w:t>2021年3月1日</w:t>
      </w:r>
    </w:p>
    <w:p/>
    <w:p/>
    <w:p/>
    <w:p>
      <w:pPr>
        <w:jc w:val="center"/>
        <w:rPr>
          <w:rFonts w:ascii="宋体" w:hAnsi="宋体"/>
        </w:rPr>
      </w:pPr>
      <w:bookmarkStart w:id="0" w:name="_Toc10402_WPSOffice_Type2"/>
    </w:p>
    <w:sdt>
      <w:sdtPr>
        <w:rPr>
          <w:rFonts w:hint="eastAsia" w:ascii="方正小标宋简体" w:hAnsi="方正小标宋简体" w:eastAsia="方正小标宋简体" w:cs="方正小标宋简体"/>
          <w:kern w:val="0"/>
          <w:sz w:val="24"/>
          <w:szCs w:val="22"/>
        </w:rPr>
        <w:id w:val="1138767366"/>
        <w:docPartObj>
          <w:docPartGallery w:val="Table of Contents"/>
          <w:docPartUnique/>
        </w:docPartObj>
      </w:sdtPr>
      <w:sdtEndPr>
        <w:rPr>
          <w:rFonts w:hint="eastAsia" w:ascii="Times New Roman" w:hAnsi="Times New Roman" w:eastAsia="宋体" w:cs="Times New Roman"/>
          <w:kern w:val="0"/>
          <w:sz w:val="20"/>
          <w:szCs w:val="20"/>
        </w:rPr>
      </w:sdtEndPr>
      <w:sdtContent>
        <w:p>
          <w:pPr>
            <w:jc w:val="center"/>
            <w:rPr>
              <w:rFonts w:ascii="方正小标宋简体" w:hAnsi="方正小标宋简体" w:eastAsia="方正小标宋简体" w:cs="方正小标宋简体"/>
              <w:sz w:val="44"/>
              <w:szCs w:val="40"/>
            </w:rPr>
          </w:pPr>
          <w:r>
            <w:rPr>
              <w:rFonts w:hint="eastAsia" w:ascii="方正小标宋简体" w:hAnsi="方正小标宋简体" w:eastAsia="方正小标宋简体" w:cs="方正小标宋简体"/>
              <w:sz w:val="44"/>
              <w:szCs w:val="40"/>
            </w:rPr>
            <w:t>目 录</w:t>
          </w:r>
        </w:p>
        <w:p>
          <w:pPr>
            <w:pStyle w:val="22"/>
            <w:tabs>
              <w:tab w:val="right" w:leader="dot" w:pos="8640"/>
            </w:tabs>
            <w:rPr>
              <w:sz w:val="32"/>
              <w:szCs w:val="32"/>
            </w:rPr>
          </w:pPr>
          <w:r>
            <w:fldChar w:fldCharType="begin"/>
          </w:r>
          <w:r>
            <w:instrText xml:space="preserve"> HYPERLINK \l "_Toc13651_WPSOffice_Level1" </w:instrText>
          </w:r>
          <w:r>
            <w:fldChar w:fldCharType="separate"/>
          </w:r>
          <w:sdt>
            <w:sdtPr>
              <w:rPr>
                <w:kern w:val="2"/>
                <w:sz w:val="36"/>
                <w:szCs w:val="32"/>
              </w:rPr>
              <w:id w:val="147459847"/>
              <w:placeholder>
                <w:docPart w:val="{54eff475-b672-40dc-9064-5819fea28c82}"/>
              </w:placeholder>
            </w:sdtPr>
            <w:sdtEndPr>
              <w:rPr>
                <w:kern w:val="2"/>
                <w:sz w:val="36"/>
                <w:szCs w:val="32"/>
              </w:rPr>
            </w:sdtEndPr>
            <w:sdtContent>
              <w:r>
                <w:rPr>
                  <w:rFonts w:hint="eastAsia" w:ascii="黑体" w:hAnsi="黑体" w:eastAsia="黑体" w:cs="黑体"/>
                  <w:sz w:val="32"/>
                  <w:szCs w:val="32"/>
                </w:rPr>
                <w:t>前 言</w:t>
              </w:r>
            </w:sdtContent>
          </w:sdt>
          <w:r>
            <w:rPr>
              <w:sz w:val="32"/>
              <w:szCs w:val="32"/>
            </w:rPr>
            <w:tab/>
          </w:r>
          <w:r>
            <w:rPr>
              <w:rFonts w:hint="eastAsia"/>
              <w:sz w:val="32"/>
              <w:szCs w:val="32"/>
            </w:rPr>
            <w:t>4</w:t>
          </w:r>
          <w:r>
            <w:rPr>
              <w:rFonts w:hint="eastAsia"/>
              <w:sz w:val="32"/>
              <w:szCs w:val="32"/>
            </w:rPr>
            <w:fldChar w:fldCharType="end"/>
          </w:r>
        </w:p>
        <w:p>
          <w:pPr>
            <w:pStyle w:val="22"/>
            <w:tabs>
              <w:tab w:val="right" w:leader="dot" w:pos="8640"/>
            </w:tabs>
            <w:rPr>
              <w:sz w:val="32"/>
              <w:szCs w:val="32"/>
            </w:rPr>
          </w:pPr>
          <w:r>
            <w:fldChar w:fldCharType="begin"/>
          </w:r>
          <w:r>
            <w:instrText xml:space="preserve"> HYPERLINK \l "_Toc13651_WPSOffice_Level1" </w:instrText>
          </w:r>
          <w:r>
            <w:fldChar w:fldCharType="separate"/>
          </w:r>
          <w:sdt>
            <w:sdtPr>
              <w:rPr>
                <w:kern w:val="2"/>
                <w:sz w:val="36"/>
                <w:szCs w:val="32"/>
              </w:rPr>
              <w:id w:val="1099449417"/>
              <w:placeholder>
                <w:docPart w:val="A17A150778F8451E93372530A8BA64F5"/>
              </w:placeholder>
            </w:sdtPr>
            <w:sdtEndPr>
              <w:rPr>
                <w:kern w:val="2"/>
                <w:sz w:val="36"/>
                <w:szCs w:val="32"/>
              </w:rPr>
            </w:sdtEndPr>
            <w:sdtContent>
              <w:r>
                <w:rPr>
                  <w:rFonts w:hint="eastAsia" w:ascii="黑体" w:hAnsi="黑体" w:eastAsia="黑体" w:cs="黑体"/>
                  <w:sz w:val="32"/>
                  <w:szCs w:val="32"/>
                </w:rPr>
                <w:t>1.基本情况</w:t>
              </w:r>
            </w:sdtContent>
          </w:sdt>
          <w:r>
            <w:rPr>
              <w:sz w:val="32"/>
              <w:szCs w:val="32"/>
            </w:rPr>
            <w:tab/>
          </w:r>
          <w:r>
            <w:rPr>
              <w:rFonts w:hint="eastAsia"/>
              <w:sz w:val="32"/>
              <w:szCs w:val="32"/>
            </w:rPr>
            <w:t>5</w:t>
          </w:r>
          <w:r>
            <w:rPr>
              <w:rFonts w:hint="eastAsia"/>
              <w:sz w:val="32"/>
              <w:szCs w:val="32"/>
            </w:rPr>
            <w:fldChar w:fldCharType="end"/>
          </w:r>
        </w:p>
        <w:p>
          <w:pPr>
            <w:pStyle w:val="23"/>
            <w:tabs>
              <w:tab w:val="right" w:leader="dot" w:pos="8640"/>
            </w:tabs>
            <w:ind w:left="420"/>
            <w:rPr>
              <w:sz w:val="32"/>
              <w:szCs w:val="32"/>
            </w:rPr>
          </w:pPr>
          <w:r>
            <w:fldChar w:fldCharType="begin"/>
          </w:r>
          <w:r>
            <w:instrText xml:space="preserve"> HYPERLINK \l "_Toc10402_WPSOffice_Level2" </w:instrText>
          </w:r>
          <w:r>
            <w:fldChar w:fldCharType="separate"/>
          </w:r>
          <w:sdt>
            <w:sdtPr>
              <w:rPr>
                <w:kern w:val="2"/>
                <w:sz w:val="36"/>
                <w:szCs w:val="32"/>
              </w:rPr>
              <w:id w:val="948974896"/>
              <w:placeholder>
                <w:docPart w:val="{1fe7009c-d784-42f9-be21-a728ec4c76db}"/>
              </w:placeholder>
            </w:sdtPr>
            <w:sdtEndPr>
              <w:rPr>
                <w:kern w:val="2"/>
                <w:sz w:val="36"/>
                <w:szCs w:val="32"/>
              </w:rPr>
            </w:sdtEndPr>
            <w:sdtContent>
              <w:r>
                <w:rPr>
                  <w:rFonts w:hint="eastAsia" w:ascii="楷体" w:hAnsi="楷体" w:eastAsia="楷体" w:cs="楷体"/>
                  <w:sz w:val="32"/>
                  <w:szCs w:val="32"/>
                </w:rPr>
                <w:t>1.1规模和结构</w:t>
              </w:r>
            </w:sdtContent>
          </w:sdt>
          <w:r>
            <w:rPr>
              <w:sz w:val="32"/>
              <w:szCs w:val="32"/>
            </w:rPr>
            <w:tab/>
          </w:r>
          <w:r>
            <w:rPr>
              <w:rFonts w:hint="eastAsia"/>
              <w:sz w:val="32"/>
              <w:szCs w:val="32"/>
            </w:rPr>
            <w:t>5</w:t>
          </w:r>
          <w:r>
            <w:rPr>
              <w:rFonts w:hint="eastAsia"/>
              <w:sz w:val="32"/>
              <w:szCs w:val="32"/>
            </w:rPr>
            <w:fldChar w:fldCharType="end"/>
          </w:r>
        </w:p>
        <w:p>
          <w:pPr>
            <w:pStyle w:val="23"/>
            <w:tabs>
              <w:tab w:val="right" w:leader="dot" w:pos="8640"/>
            </w:tabs>
            <w:ind w:left="420"/>
            <w:rPr>
              <w:sz w:val="32"/>
              <w:szCs w:val="32"/>
            </w:rPr>
          </w:pPr>
          <w:r>
            <w:fldChar w:fldCharType="begin"/>
          </w:r>
          <w:r>
            <w:instrText xml:space="preserve"> HYPERLINK \l "_Toc13651_WPSOffice_Level2" </w:instrText>
          </w:r>
          <w:r>
            <w:fldChar w:fldCharType="separate"/>
          </w:r>
          <w:sdt>
            <w:sdtPr>
              <w:rPr>
                <w:kern w:val="2"/>
                <w:sz w:val="36"/>
                <w:szCs w:val="32"/>
              </w:rPr>
              <w:id w:val="-1211569845"/>
              <w:placeholder>
                <w:docPart w:val="{9f81683e-1c73-4d12-a968-a01fed389c29}"/>
              </w:placeholder>
            </w:sdtPr>
            <w:sdtEndPr>
              <w:rPr>
                <w:kern w:val="2"/>
                <w:sz w:val="36"/>
                <w:szCs w:val="32"/>
              </w:rPr>
            </w:sdtEndPr>
            <w:sdtContent>
              <w:r>
                <w:rPr>
                  <w:rFonts w:hint="eastAsia" w:ascii="楷体" w:hAnsi="楷体" w:eastAsia="楷体" w:cs="楷体"/>
                  <w:sz w:val="32"/>
                  <w:szCs w:val="32"/>
                </w:rPr>
                <w:t>1.2设施设备</w:t>
              </w:r>
            </w:sdtContent>
          </w:sdt>
          <w:r>
            <w:rPr>
              <w:sz w:val="32"/>
              <w:szCs w:val="32"/>
            </w:rPr>
            <w:tab/>
          </w:r>
          <w:bookmarkStart w:id="1" w:name="_Toc13651_WPSOffice_Level2Page"/>
          <w:r>
            <w:rPr>
              <w:sz w:val="32"/>
              <w:szCs w:val="32"/>
            </w:rPr>
            <w:t>7</w:t>
          </w:r>
          <w:bookmarkEnd w:id="1"/>
          <w:r>
            <w:rPr>
              <w:sz w:val="32"/>
              <w:szCs w:val="32"/>
            </w:rPr>
            <w:fldChar w:fldCharType="end"/>
          </w:r>
        </w:p>
        <w:p>
          <w:pPr>
            <w:pStyle w:val="23"/>
            <w:tabs>
              <w:tab w:val="right" w:leader="dot" w:pos="8640"/>
            </w:tabs>
            <w:ind w:left="420"/>
            <w:rPr>
              <w:sz w:val="32"/>
              <w:szCs w:val="32"/>
            </w:rPr>
          </w:pPr>
          <w:r>
            <w:fldChar w:fldCharType="begin"/>
          </w:r>
          <w:r>
            <w:instrText xml:space="preserve"> HYPERLINK \l "_Toc12066_WPSOffice_Level2" </w:instrText>
          </w:r>
          <w:r>
            <w:fldChar w:fldCharType="separate"/>
          </w:r>
          <w:sdt>
            <w:sdtPr>
              <w:rPr>
                <w:kern w:val="2"/>
                <w:sz w:val="36"/>
                <w:szCs w:val="32"/>
              </w:rPr>
              <w:id w:val="1073554613"/>
              <w:placeholder>
                <w:docPart w:val="{c03456bd-1f32-4523-97e3-6dd9c2dffcc2}"/>
              </w:placeholder>
            </w:sdtPr>
            <w:sdtEndPr>
              <w:rPr>
                <w:kern w:val="2"/>
                <w:sz w:val="36"/>
                <w:szCs w:val="32"/>
              </w:rPr>
            </w:sdtEndPr>
            <w:sdtContent>
              <w:r>
                <w:rPr>
                  <w:rFonts w:hint="eastAsia" w:ascii="楷体" w:hAnsi="楷体" w:eastAsia="楷体" w:cs="楷体"/>
                  <w:sz w:val="32"/>
                  <w:szCs w:val="32"/>
                </w:rPr>
                <w:t>1.3教师队伍</w:t>
              </w:r>
            </w:sdtContent>
          </w:sdt>
          <w:r>
            <w:rPr>
              <w:sz w:val="32"/>
              <w:szCs w:val="32"/>
            </w:rPr>
            <w:tab/>
          </w:r>
          <w:bookmarkStart w:id="2" w:name="_Toc12066_WPSOffice_Level2Page"/>
          <w:r>
            <w:rPr>
              <w:sz w:val="32"/>
              <w:szCs w:val="32"/>
            </w:rPr>
            <w:t>8</w:t>
          </w:r>
          <w:bookmarkEnd w:id="2"/>
          <w:r>
            <w:rPr>
              <w:sz w:val="32"/>
              <w:szCs w:val="32"/>
            </w:rPr>
            <w:fldChar w:fldCharType="end"/>
          </w:r>
        </w:p>
        <w:p>
          <w:pPr>
            <w:pStyle w:val="22"/>
            <w:tabs>
              <w:tab w:val="right" w:leader="dot" w:pos="8640"/>
            </w:tabs>
            <w:rPr>
              <w:sz w:val="32"/>
              <w:szCs w:val="32"/>
            </w:rPr>
          </w:pPr>
          <w:r>
            <w:fldChar w:fldCharType="begin"/>
          </w:r>
          <w:r>
            <w:instrText xml:space="preserve"> HYPERLINK \l "_Toc12066_WPSOffice_Level1" </w:instrText>
          </w:r>
          <w:r>
            <w:fldChar w:fldCharType="separate"/>
          </w:r>
          <w:sdt>
            <w:sdtPr>
              <w:rPr>
                <w:kern w:val="2"/>
                <w:sz w:val="36"/>
                <w:szCs w:val="32"/>
              </w:rPr>
              <w:id w:val="1975335403"/>
              <w:placeholder>
                <w:docPart w:val="{7f32d81e-7635-4c15-8847-20ccf66988fd}"/>
              </w:placeholder>
            </w:sdtPr>
            <w:sdtEndPr>
              <w:rPr>
                <w:kern w:val="2"/>
                <w:sz w:val="36"/>
                <w:szCs w:val="32"/>
              </w:rPr>
            </w:sdtEndPr>
            <w:sdtContent>
              <w:r>
                <w:rPr>
                  <w:rFonts w:hint="eastAsia" w:ascii="黑体" w:hAnsi="黑体" w:eastAsia="黑体" w:cs="黑体"/>
                  <w:sz w:val="32"/>
                  <w:szCs w:val="32"/>
                </w:rPr>
                <w:t>2.学生发展</w:t>
              </w:r>
            </w:sdtContent>
          </w:sdt>
          <w:r>
            <w:rPr>
              <w:sz w:val="32"/>
              <w:szCs w:val="32"/>
            </w:rPr>
            <w:tab/>
          </w:r>
          <w:bookmarkStart w:id="3" w:name="_Toc12066_WPSOffice_Level1Page"/>
          <w:r>
            <w:rPr>
              <w:sz w:val="32"/>
              <w:szCs w:val="32"/>
            </w:rPr>
            <w:t>10</w:t>
          </w:r>
          <w:bookmarkEnd w:id="3"/>
          <w:r>
            <w:rPr>
              <w:sz w:val="32"/>
              <w:szCs w:val="32"/>
            </w:rPr>
            <w:fldChar w:fldCharType="end"/>
          </w:r>
        </w:p>
        <w:p>
          <w:pPr>
            <w:pStyle w:val="23"/>
            <w:tabs>
              <w:tab w:val="right" w:leader="dot" w:pos="8640"/>
            </w:tabs>
            <w:ind w:left="420"/>
            <w:rPr>
              <w:sz w:val="32"/>
              <w:szCs w:val="32"/>
            </w:rPr>
          </w:pPr>
          <w:r>
            <w:fldChar w:fldCharType="begin"/>
          </w:r>
          <w:r>
            <w:instrText xml:space="preserve"> HYPERLINK \l "_Toc21822_WPSOffice_Level2" </w:instrText>
          </w:r>
          <w:r>
            <w:fldChar w:fldCharType="separate"/>
          </w:r>
          <w:sdt>
            <w:sdtPr>
              <w:rPr>
                <w:kern w:val="2"/>
                <w:sz w:val="36"/>
                <w:szCs w:val="32"/>
              </w:rPr>
              <w:id w:val="1113335898"/>
              <w:placeholder>
                <w:docPart w:val="{2ab39c2e-612c-417d-8993-ae2b3c7afeaa}"/>
              </w:placeholder>
            </w:sdtPr>
            <w:sdtEndPr>
              <w:rPr>
                <w:kern w:val="2"/>
                <w:sz w:val="36"/>
                <w:szCs w:val="32"/>
              </w:rPr>
            </w:sdtEndPr>
            <w:sdtContent>
              <w:r>
                <w:rPr>
                  <w:rFonts w:hint="eastAsia" w:ascii="楷体" w:hAnsi="楷体" w:eastAsia="楷体" w:cs="楷体"/>
                  <w:sz w:val="32"/>
                  <w:szCs w:val="32"/>
                </w:rPr>
                <w:t>2.1学生素质</w:t>
              </w:r>
            </w:sdtContent>
          </w:sdt>
          <w:r>
            <w:rPr>
              <w:sz w:val="32"/>
              <w:szCs w:val="32"/>
            </w:rPr>
            <w:tab/>
          </w:r>
          <w:bookmarkStart w:id="4" w:name="_Toc21822_WPSOffice_Level2Page"/>
          <w:r>
            <w:rPr>
              <w:sz w:val="32"/>
              <w:szCs w:val="32"/>
            </w:rPr>
            <w:t>10</w:t>
          </w:r>
          <w:bookmarkEnd w:id="4"/>
          <w:r>
            <w:rPr>
              <w:sz w:val="32"/>
              <w:szCs w:val="32"/>
            </w:rPr>
            <w:fldChar w:fldCharType="end"/>
          </w:r>
        </w:p>
        <w:p>
          <w:pPr>
            <w:pStyle w:val="23"/>
            <w:tabs>
              <w:tab w:val="right" w:leader="dot" w:pos="8640"/>
            </w:tabs>
            <w:ind w:left="420"/>
            <w:rPr>
              <w:sz w:val="32"/>
              <w:szCs w:val="32"/>
            </w:rPr>
          </w:pPr>
          <w:r>
            <w:fldChar w:fldCharType="begin"/>
          </w:r>
          <w:r>
            <w:instrText xml:space="preserve"> HYPERLINK \l "_Toc3780_WPSOffice_Level2" </w:instrText>
          </w:r>
          <w:r>
            <w:fldChar w:fldCharType="separate"/>
          </w:r>
          <w:sdt>
            <w:sdtPr>
              <w:rPr>
                <w:kern w:val="2"/>
                <w:sz w:val="36"/>
                <w:szCs w:val="32"/>
              </w:rPr>
              <w:id w:val="1352689417"/>
              <w:placeholder>
                <w:docPart w:val="{d3236a16-d965-4c0e-85d2-badebd2aa698}"/>
              </w:placeholder>
            </w:sdtPr>
            <w:sdtEndPr>
              <w:rPr>
                <w:kern w:val="2"/>
                <w:sz w:val="36"/>
                <w:szCs w:val="32"/>
              </w:rPr>
            </w:sdtEndPr>
            <w:sdtContent>
              <w:r>
                <w:rPr>
                  <w:rFonts w:hint="eastAsia" w:ascii="楷体" w:hAnsi="楷体" w:eastAsia="楷体" w:cs="楷体"/>
                  <w:sz w:val="32"/>
                  <w:szCs w:val="32"/>
                </w:rPr>
                <w:t>2.2就业质量</w:t>
              </w:r>
            </w:sdtContent>
          </w:sdt>
          <w:r>
            <w:rPr>
              <w:sz w:val="32"/>
              <w:szCs w:val="32"/>
            </w:rPr>
            <w:tab/>
          </w:r>
          <w:bookmarkStart w:id="5" w:name="_Toc3780_WPSOffice_Level2Page"/>
          <w:r>
            <w:rPr>
              <w:sz w:val="32"/>
              <w:szCs w:val="32"/>
            </w:rPr>
            <w:t>1</w:t>
          </w:r>
          <w:bookmarkEnd w:id="5"/>
          <w:r>
            <w:rPr>
              <w:rFonts w:hint="eastAsia"/>
              <w:sz w:val="32"/>
              <w:szCs w:val="32"/>
            </w:rPr>
            <w:t>1</w:t>
          </w:r>
          <w:r>
            <w:rPr>
              <w:rFonts w:hint="eastAsia"/>
              <w:sz w:val="32"/>
              <w:szCs w:val="32"/>
            </w:rPr>
            <w:fldChar w:fldCharType="end"/>
          </w:r>
        </w:p>
        <w:p>
          <w:pPr>
            <w:pStyle w:val="23"/>
            <w:tabs>
              <w:tab w:val="right" w:leader="dot" w:pos="8640"/>
            </w:tabs>
            <w:ind w:left="420"/>
            <w:rPr>
              <w:sz w:val="32"/>
              <w:szCs w:val="32"/>
            </w:rPr>
          </w:pPr>
          <w:r>
            <w:rPr>
              <w:rFonts w:hint="eastAsia" w:ascii="楷体" w:hAnsi="楷体" w:eastAsia="楷体" w:cs="楷体"/>
              <w:sz w:val="32"/>
              <w:szCs w:val="32"/>
            </w:rPr>
            <w:t>2.3升学情况</w:t>
          </w:r>
          <w:r>
            <w:fldChar w:fldCharType="begin"/>
          </w:r>
          <w:r>
            <w:instrText xml:space="preserve"> HYPERLINK \l "_Toc3780_WPSOffice_Level2" </w:instrText>
          </w:r>
          <w:r>
            <w:fldChar w:fldCharType="separate"/>
          </w:r>
          <w:r>
            <w:rPr>
              <w:sz w:val="32"/>
              <w:szCs w:val="32"/>
            </w:rPr>
            <w:tab/>
          </w:r>
          <w:r>
            <w:rPr>
              <w:rFonts w:hint="eastAsia"/>
              <w:sz w:val="32"/>
              <w:szCs w:val="32"/>
            </w:rPr>
            <w:t>12</w:t>
          </w:r>
          <w:r>
            <w:rPr>
              <w:rFonts w:hint="eastAsia"/>
              <w:sz w:val="32"/>
              <w:szCs w:val="32"/>
            </w:rPr>
            <w:fldChar w:fldCharType="end"/>
          </w:r>
        </w:p>
        <w:p>
          <w:pPr>
            <w:pStyle w:val="22"/>
            <w:tabs>
              <w:tab w:val="right" w:leader="dot" w:pos="8640"/>
            </w:tabs>
            <w:rPr>
              <w:sz w:val="32"/>
              <w:szCs w:val="32"/>
            </w:rPr>
          </w:pPr>
          <w:r>
            <w:fldChar w:fldCharType="begin"/>
          </w:r>
          <w:r>
            <w:instrText xml:space="preserve"> HYPERLINK \l "_Toc21822_WPSOffice_Level1" </w:instrText>
          </w:r>
          <w:r>
            <w:fldChar w:fldCharType="separate"/>
          </w:r>
          <w:sdt>
            <w:sdtPr>
              <w:rPr>
                <w:kern w:val="2"/>
                <w:sz w:val="36"/>
                <w:szCs w:val="32"/>
              </w:rPr>
              <w:id w:val="464087632"/>
              <w:placeholder>
                <w:docPart w:val="{16fa00cd-2f9b-480c-b6df-d61b3d60b5c6}"/>
              </w:placeholder>
            </w:sdtPr>
            <w:sdtEndPr>
              <w:rPr>
                <w:kern w:val="2"/>
                <w:sz w:val="36"/>
                <w:szCs w:val="32"/>
              </w:rPr>
            </w:sdtEndPr>
            <w:sdtContent>
              <w:r>
                <w:rPr>
                  <w:rFonts w:hint="eastAsia" w:ascii="黑体" w:hAnsi="黑体" w:eastAsia="黑体" w:cs="黑体"/>
                  <w:sz w:val="32"/>
                  <w:szCs w:val="32"/>
                </w:rPr>
                <w:t>3.质量保障措施</w:t>
              </w:r>
            </w:sdtContent>
          </w:sdt>
          <w:r>
            <w:rPr>
              <w:sz w:val="32"/>
              <w:szCs w:val="32"/>
            </w:rPr>
            <w:tab/>
          </w:r>
          <w:bookmarkStart w:id="6" w:name="_Toc21822_WPSOffice_Level1Page"/>
          <w:r>
            <w:rPr>
              <w:sz w:val="32"/>
              <w:szCs w:val="32"/>
            </w:rPr>
            <w:t>13</w:t>
          </w:r>
          <w:bookmarkEnd w:id="6"/>
          <w:r>
            <w:rPr>
              <w:sz w:val="32"/>
              <w:szCs w:val="32"/>
            </w:rPr>
            <w:fldChar w:fldCharType="end"/>
          </w:r>
        </w:p>
        <w:p>
          <w:pPr>
            <w:pStyle w:val="23"/>
            <w:tabs>
              <w:tab w:val="right" w:leader="dot" w:pos="8640"/>
            </w:tabs>
            <w:ind w:left="420"/>
            <w:rPr>
              <w:sz w:val="32"/>
              <w:szCs w:val="32"/>
            </w:rPr>
          </w:pPr>
          <w:r>
            <w:fldChar w:fldCharType="begin"/>
          </w:r>
          <w:r>
            <w:instrText xml:space="preserve"> HYPERLINK \l "_Toc27472_WPSOffice_Level2" </w:instrText>
          </w:r>
          <w:r>
            <w:fldChar w:fldCharType="separate"/>
          </w:r>
          <w:sdt>
            <w:sdtPr>
              <w:rPr>
                <w:kern w:val="2"/>
                <w:sz w:val="36"/>
                <w:szCs w:val="32"/>
              </w:rPr>
              <w:id w:val="-456325043"/>
            </w:sdtPr>
            <w:sdtEndPr>
              <w:rPr>
                <w:kern w:val="2"/>
                <w:sz w:val="36"/>
                <w:szCs w:val="32"/>
              </w:rPr>
            </w:sdtEndPr>
            <w:sdtContent>
              <w:r>
                <w:rPr>
                  <w:rFonts w:hint="eastAsia" w:ascii="楷体" w:hAnsi="楷体" w:eastAsia="楷体" w:cs="楷体"/>
                  <w:sz w:val="32"/>
                  <w:szCs w:val="32"/>
                </w:rPr>
                <w:t>3.1专业布局</w:t>
              </w:r>
            </w:sdtContent>
          </w:sdt>
          <w:r>
            <w:rPr>
              <w:sz w:val="32"/>
              <w:szCs w:val="32"/>
            </w:rPr>
            <w:tab/>
          </w:r>
          <w:bookmarkStart w:id="7" w:name="_Toc27472_WPSOffice_Level2Page"/>
          <w:r>
            <w:rPr>
              <w:sz w:val="32"/>
              <w:szCs w:val="32"/>
            </w:rPr>
            <w:t>13</w:t>
          </w:r>
          <w:bookmarkEnd w:id="7"/>
          <w:r>
            <w:rPr>
              <w:sz w:val="32"/>
              <w:szCs w:val="32"/>
            </w:rPr>
            <w:fldChar w:fldCharType="end"/>
          </w:r>
        </w:p>
        <w:p>
          <w:pPr>
            <w:pStyle w:val="23"/>
            <w:tabs>
              <w:tab w:val="right" w:leader="dot" w:pos="8640"/>
            </w:tabs>
            <w:ind w:left="420"/>
            <w:rPr>
              <w:sz w:val="32"/>
              <w:szCs w:val="32"/>
            </w:rPr>
          </w:pPr>
          <w:r>
            <w:fldChar w:fldCharType="begin"/>
          </w:r>
          <w:r>
            <w:instrText xml:space="preserve"> HYPERLINK \l "_Toc21570_WPSOffice_Level2" </w:instrText>
          </w:r>
          <w:r>
            <w:fldChar w:fldCharType="separate"/>
          </w:r>
          <w:sdt>
            <w:sdtPr>
              <w:rPr>
                <w:kern w:val="2"/>
                <w:sz w:val="36"/>
                <w:szCs w:val="32"/>
              </w:rPr>
              <w:id w:val="-943763002"/>
            </w:sdtPr>
            <w:sdtEndPr>
              <w:rPr>
                <w:kern w:val="2"/>
                <w:sz w:val="36"/>
                <w:szCs w:val="32"/>
              </w:rPr>
            </w:sdtEndPr>
            <w:sdtContent>
              <w:r>
                <w:rPr>
                  <w:rFonts w:hint="eastAsia" w:ascii="楷体" w:hAnsi="楷体" w:eastAsia="楷体" w:cs="楷体"/>
                  <w:sz w:val="32"/>
                  <w:szCs w:val="32"/>
                </w:rPr>
                <w:t>3.2质量保证</w:t>
              </w:r>
            </w:sdtContent>
          </w:sdt>
          <w:r>
            <w:rPr>
              <w:sz w:val="32"/>
              <w:szCs w:val="32"/>
            </w:rPr>
            <w:tab/>
          </w:r>
          <w:bookmarkStart w:id="8" w:name="_Toc21570_WPSOffice_Level2Page"/>
          <w:r>
            <w:rPr>
              <w:sz w:val="32"/>
              <w:szCs w:val="32"/>
            </w:rPr>
            <w:t>22</w:t>
          </w:r>
          <w:bookmarkEnd w:id="8"/>
          <w:r>
            <w:rPr>
              <w:sz w:val="32"/>
              <w:szCs w:val="32"/>
            </w:rPr>
            <w:fldChar w:fldCharType="end"/>
          </w:r>
        </w:p>
        <w:p>
          <w:pPr>
            <w:pStyle w:val="23"/>
            <w:tabs>
              <w:tab w:val="right" w:leader="dot" w:pos="8640"/>
            </w:tabs>
            <w:ind w:left="420"/>
            <w:rPr>
              <w:sz w:val="32"/>
              <w:szCs w:val="32"/>
            </w:rPr>
          </w:pPr>
          <w:r>
            <w:fldChar w:fldCharType="begin"/>
          </w:r>
          <w:r>
            <w:instrText xml:space="preserve"> HYPERLINK \l "_Toc4056_WPSOffice_Level2" </w:instrText>
          </w:r>
          <w:r>
            <w:fldChar w:fldCharType="separate"/>
          </w:r>
          <w:sdt>
            <w:sdtPr>
              <w:rPr>
                <w:kern w:val="2"/>
                <w:sz w:val="36"/>
                <w:szCs w:val="32"/>
              </w:rPr>
              <w:id w:val="2058434992"/>
            </w:sdtPr>
            <w:sdtEndPr>
              <w:rPr>
                <w:kern w:val="2"/>
                <w:sz w:val="36"/>
                <w:szCs w:val="32"/>
              </w:rPr>
            </w:sdtEndPr>
            <w:sdtContent>
              <w:r>
                <w:rPr>
                  <w:rFonts w:hint="eastAsia" w:ascii="楷体" w:hAnsi="楷体" w:eastAsia="楷体" w:cs="楷体"/>
                  <w:sz w:val="32"/>
                  <w:szCs w:val="32"/>
                </w:rPr>
                <w:t>3.3教师培养培训情况</w:t>
              </w:r>
            </w:sdtContent>
          </w:sdt>
          <w:r>
            <w:rPr>
              <w:sz w:val="32"/>
              <w:szCs w:val="32"/>
            </w:rPr>
            <w:tab/>
          </w:r>
          <w:bookmarkStart w:id="9" w:name="_Toc4056_WPSOffice_Level2Page"/>
          <w:r>
            <w:rPr>
              <w:sz w:val="32"/>
              <w:szCs w:val="32"/>
            </w:rPr>
            <w:t>2</w:t>
          </w:r>
          <w:bookmarkEnd w:id="9"/>
          <w:r>
            <w:rPr>
              <w:rFonts w:hint="eastAsia"/>
              <w:sz w:val="32"/>
              <w:szCs w:val="32"/>
            </w:rPr>
            <w:t>5</w:t>
          </w:r>
          <w:r>
            <w:rPr>
              <w:rFonts w:hint="eastAsia"/>
              <w:sz w:val="32"/>
              <w:szCs w:val="32"/>
            </w:rPr>
            <w:fldChar w:fldCharType="end"/>
          </w:r>
        </w:p>
        <w:p>
          <w:pPr>
            <w:pStyle w:val="22"/>
            <w:tabs>
              <w:tab w:val="right" w:leader="dot" w:pos="8640"/>
            </w:tabs>
            <w:rPr>
              <w:sz w:val="32"/>
              <w:szCs w:val="32"/>
            </w:rPr>
          </w:pPr>
          <w:r>
            <w:fldChar w:fldCharType="begin"/>
          </w:r>
          <w:r>
            <w:instrText xml:space="preserve"> HYPERLINK \l "_Toc3780_WPSOffice_Level1" </w:instrText>
          </w:r>
          <w:r>
            <w:fldChar w:fldCharType="separate"/>
          </w:r>
          <w:sdt>
            <w:sdtPr>
              <w:rPr>
                <w:kern w:val="2"/>
                <w:sz w:val="36"/>
                <w:szCs w:val="32"/>
              </w:rPr>
              <w:id w:val="1792172528"/>
            </w:sdtPr>
            <w:sdtEndPr>
              <w:rPr>
                <w:kern w:val="2"/>
                <w:sz w:val="36"/>
                <w:szCs w:val="32"/>
              </w:rPr>
            </w:sdtEndPr>
            <w:sdtContent>
              <w:r>
                <w:rPr>
                  <w:rFonts w:hint="eastAsia" w:ascii="黑体" w:hAnsi="黑体" w:eastAsia="黑体" w:cs="黑体"/>
                  <w:sz w:val="32"/>
                  <w:szCs w:val="32"/>
                </w:rPr>
                <w:t>4.校企合作</w:t>
              </w:r>
            </w:sdtContent>
          </w:sdt>
          <w:r>
            <w:rPr>
              <w:sz w:val="32"/>
              <w:szCs w:val="32"/>
            </w:rPr>
            <w:tab/>
          </w:r>
          <w:bookmarkStart w:id="10" w:name="_Toc3780_WPSOffice_Level1Page"/>
          <w:r>
            <w:rPr>
              <w:sz w:val="32"/>
              <w:szCs w:val="32"/>
            </w:rPr>
            <w:t>2</w:t>
          </w:r>
          <w:bookmarkEnd w:id="10"/>
          <w:r>
            <w:rPr>
              <w:rFonts w:hint="eastAsia"/>
              <w:sz w:val="32"/>
              <w:szCs w:val="32"/>
            </w:rPr>
            <w:t>6</w:t>
          </w:r>
          <w:r>
            <w:rPr>
              <w:rFonts w:hint="eastAsia"/>
              <w:sz w:val="32"/>
              <w:szCs w:val="32"/>
            </w:rPr>
            <w:fldChar w:fldCharType="end"/>
          </w:r>
        </w:p>
        <w:p>
          <w:pPr>
            <w:pStyle w:val="23"/>
            <w:tabs>
              <w:tab w:val="right" w:leader="dot" w:pos="8640"/>
            </w:tabs>
            <w:ind w:left="420"/>
            <w:rPr>
              <w:sz w:val="32"/>
              <w:szCs w:val="32"/>
            </w:rPr>
          </w:pPr>
          <w:r>
            <w:fldChar w:fldCharType="begin"/>
          </w:r>
          <w:r>
            <w:instrText xml:space="preserve"> HYPERLINK \l "_Toc25413_WPSOffice_Level2" </w:instrText>
          </w:r>
          <w:r>
            <w:fldChar w:fldCharType="separate"/>
          </w:r>
          <w:sdt>
            <w:sdtPr>
              <w:rPr>
                <w:kern w:val="2"/>
                <w:sz w:val="36"/>
                <w:szCs w:val="32"/>
              </w:rPr>
              <w:id w:val="-1997789955"/>
            </w:sdtPr>
            <w:sdtEndPr>
              <w:rPr>
                <w:kern w:val="2"/>
                <w:sz w:val="36"/>
                <w:szCs w:val="32"/>
              </w:rPr>
            </w:sdtEndPr>
            <w:sdtContent>
              <w:r>
                <w:rPr>
                  <w:rFonts w:hint="eastAsia" w:ascii="楷体" w:hAnsi="楷体" w:eastAsia="楷体" w:cs="楷体"/>
                  <w:sz w:val="32"/>
                  <w:szCs w:val="32"/>
                </w:rPr>
                <w:t>4.1校企合作开展情况和效果</w:t>
              </w:r>
            </w:sdtContent>
          </w:sdt>
          <w:r>
            <w:rPr>
              <w:sz w:val="32"/>
              <w:szCs w:val="32"/>
            </w:rPr>
            <w:tab/>
          </w:r>
          <w:bookmarkStart w:id="11" w:name="_Toc25413_WPSOffice_Level2Page"/>
          <w:r>
            <w:rPr>
              <w:sz w:val="32"/>
              <w:szCs w:val="32"/>
            </w:rPr>
            <w:t>2</w:t>
          </w:r>
          <w:bookmarkEnd w:id="11"/>
          <w:r>
            <w:rPr>
              <w:rFonts w:hint="eastAsia"/>
              <w:sz w:val="32"/>
              <w:szCs w:val="32"/>
            </w:rPr>
            <w:t>6</w:t>
          </w:r>
          <w:r>
            <w:rPr>
              <w:rFonts w:hint="eastAsia"/>
              <w:sz w:val="32"/>
              <w:szCs w:val="32"/>
            </w:rPr>
            <w:fldChar w:fldCharType="end"/>
          </w:r>
        </w:p>
        <w:p>
          <w:pPr>
            <w:pStyle w:val="23"/>
            <w:tabs>
              <w:tab w:val="right" w:leader="dot" w:pos="8640"/>
            </w:tabs>
            <w:ind w:left="420"/>
            <w:rPr>
              <w:sz w:val="32"/>
              <w:szCs w:val="32"/>
            </w:rPr>
          </w:pPr>
          <w:r>
            <w:fldChar w:fldCharType="begin"/>
          </w:r>
          <w:r>
            <w:instrText xml:space="preserve"> HYPERLINK \l "_Toc23079_WPSOffice_Level2" </w:instrText>
          </w:r>
          <w:r>
            <w:fldChar w:fldCharType="separate"/>
          </w:r>
          <w:sdt>
            <w:sdtPr>
              <w:rPr>
                <w:kern w:val="2"/>
                <w:sz w:val="36"/>
                <w:szCs w:val="32"/>
              </w:rPr>
              <w:id w:val="1592669179"/>
            </w:sdtPr>
            <w:sdtEndPr>
              <w:rPr>
                <w:kern w:val="2"/>
                <w:sz w:val="36"/>
                <w:szCs w:val="32"/>
              </w:rPr>
            </w:sdtEndPr>
            <w:sdtContent>
              <w:r>
                <w:rPr>
                  <w:rFonts w:hint="eastAsia" w:ascii="楷体" w:hAnsi="楷体" w:eastAsia="楷体" w:cs="楷体"/>
                  <w:sz w:val="32"/>
                  <w:szCs w:val="32"/>
                </w:rPr>
                <w:t>4.2学生实习情况</w:t>
              </w:r>
            </w:sdtContent>
          </w:sdt>
          <w:r>
            <w:rPr>
              <w:sz w:val="32"/>
              <w:szCs w:val="32"/>
            </w:rPr>
            <w:tab/>
          </w:r>
          <w:bookmarkStart w:id="12" w:name="_Toc23079_WPSOffice_Level2Page"/>
          <w:r>
            <w:rPr>
              <w:sz w:val="32"/>
              <w:szCs w:val="32"/>
            </w:rPr>
            <w:t>28</w:t>
          </w:r>
          <w:bookmarkEnd w:id="12"/>
          <w:r>
            <w:rPr>
              <w:sz w:val="32"/>
              <w:szCs w:val="32"/>
            </w:rPr>
            <w:fldChar w:fldCharType="end"/>
          </w:r>
        </w:p>
        <w:p>
          <w:pPr>
            <w:pStyle w:val="23"/>
            <w:tabs>
              <w:tab w:val="right" w:leader="dot" w:pos="8640"/>
            </w:tabs>
            <w:ind w:left="420"/>
            <w:rPr>
              <w:sz w:val="32"/>
              <w:szCs w:val="32"/>
            </w:rPr>
          </w:pPr>
          <w:r>
            <w:fldChar w:fldCharType="begin"/>
          </w:r>
          <w:r>
            <w:instrText xml:space="preserve"> HYPERLINK \l "_Toc22263_WPSOffice_Level2" </w:instrText>
          </w:r>
          <w:r>
            <w:fldChar w:fldCharType="separate"/>
          </w:r>
          <w:sdt>
            <w:sdtPr>
              <w:rPr>
                <w:kern w:val="2"/>
                <w:sz w:val="36"/>
                <w:szCs w:val="32"/>
              </w:rPr>
              <w:id w:val="-2026162316"/>
            </w:sdtPr>
            <w:sdtEndPr>
              <w:rPr>
                <w:kern w:val="2"/>
                <w:sz w:val="36"/>
                <w:szCs w:val="32"/>
              </w:rPr>
            </w:sdtEndPr>
            <w:sdtContent>
              <w:r>
                <w:rPr>
                  <w:rFonts w:hint="eastAsia" w:ascii="楷体" w:hAnsi="楷体" w:eastAsia="楷体" w:cs="楷体"/>
                  <w:sz w:val="32"/>
                  <w:szCs w:val="32"/>
                </w:rPr>
                <w:t>4.3集团化办学情况</w:t>
              </w:r>
            </w:sdtContent>
          </w:sdt>
          <w:r>
            <w:rPr>
              <w:sz w:val="32"/>
              <w:szCs w:val="32"/>
            </w:rPr>
            <w:tab/>
          </w:r>
          <w:r>
            <w:rPr>
              <w:rFonts w:hint="eastAsia"/>
              <w:sz w:val="32"/>
              <w:szCs w:val="32"/>
            </w:rPr>
            <w:t>29</w:t>
          </w:r>
          <w:r>
            <w:rPr>
              <w:rFonts w:hint="eastAsia"/>
              <w:sz w:val="32"/>
              <w:szCs w:val="32"/>
            </w:rPr>
            <w:fldChar w:fldCharType="end"/>
          </w:r>
        </w:p>
        <w:p>
          <w:pPr>
            <w:pStyle w:val="22"/>
            <w:tabs>
              <w:tab w:val="right" w:leader="dot" w:pos="8640"/>
            </w:tabs>
            <w:rPr>
              <w:sz w:val="32"/>
              <w:szCs w:val="32"/>
            </w:rPr>
          </w:pPr>
          <w:r>
            <w:fldChar w:fldCharType="begin"/>
          </w:r>
          <w:r>
            <w:instrText xml:space="preserve"> HYPERLINK \l "_Toc27472_WPSOffice_Level1" </w:instrText>
          </w:r>
          <w:r>
            <w:fldChar w:fldCharType="separate"/>
          </w:r>
          <w:sdt>
            <w:sdtPr>
              <w:rPr>
                <w:kern w:val="2"/>
                <w:sz w:val="36"/>
                <w:szCs w:val="32"/>
              </w:rPr>
              <w:id w:val="-1481919685"/>
            </w:sdtPr>
            <w:sdtEndPr>
              <w:rPr>
                <w:kern w:val="2"/>
                <w:sz w:val="36"/>
                <w:szCs w:val="32"/>
              </w:rPr>
            </w:sdtEndPr>
            <w:sdtContent>
              <w:r>
                <w:rPr>
                  <w:rFonts w:hint="eastAsia" w:ascii="黑体" w:hAnsi="黑体" w:eastAsia="黑体" w:cs="黑体"/>
                  <w:sz w:val="32"/>
                  <w:szCs w:val="32"/>
                </w:rPr>
                <w:t>5.社会贡献</w:t>
              </w:r>
            </w:sdtContent>
          </w:sdt>
          <w:r>
            <w:rPr>
              <w:sz w:val="32"/>
              <w:szCs w:val="32"/>
            </w:rPr>
            <w:tab/>
          </w:r>
          <w:bookmarkStart w:id="13" w:name="_Toc27472_WPSOffice_Level1Page"/>
          <w:r>
            <w:rPr>
              <w:sz w:val="32"/>
              <w:szCs w:val="32"/>
            </w:rPr>
            <w:t>3</w:t>
          </w:r>
          <w:bookmarkEnd w:id="13"/>
          <w:r>
            <w:rPr>
              <w:rFonts w:hint="eastAsia"/>
              <w:sz w:val="32"/>
              <w:szCs w:val="32"/>
            </w:rPr>
            <w:t>0</w:t>
          </w:r>
          <w:r>
            <w:rPr>
              <w:rFonts w:hint="eastAsia"/>
              <w:sz w:val="32"/>
              <w:szCs w:val="32"/>
            </w:rPr>
            <w:fldChar w:fldCharType="end"/>
          </w:r>
        </w:p>
        <w:p>
          <w:pPr>
            <w:pStyle w:val="23"/>
            <w:tabs>
              <w:tab w:val="right" w:leader="dot" w:pos="8640"/>
            </w:tabs>
            <w:ind w:left="420"/>
            <w:rPr>
              <w:sz w:val="32"/>
              <w:szCs w:val="32"/>
            </w:rPr>
          </w:pPr>
          <w:r>
            <w:fldChar w:fldCharType="begin"/>
          </w:r>
          <w:r>
            <w:instrText xml:space="preserve"> HYPERLINK \l "_Toc23890_WPSOffice_Level2" </w:instrText>
          </w:r>
          <w:r>
            <w:fldChar w:fldCharType="separate"/>
          </w:r>
          <w:sdt>
            <w:sdtPr>
              <w:rPr>
                <w:kern w:val="2"/>
                <w:sz w:val="36"/>
                <w:szCs w:val="32"/>
              </w:rPr>
              <w:id w:val="1146555388"/>
            </w:sdtPr>
            <w:sdtEndPr>
              <w:rPr>
                <w:kern w:val="2"/>
                <w:sz w:val="36"/>
                <w:szCs w:val="32"/>
              </w:rPr>
            </w:sdtEndPr>
            <w:sdtContent>
              <w:r>
                <w:rPr>
                  <w:rFonts w:hint="eastAsia" w:ascii="楷体" w:hAnsi="楷体" w:eastAsia="楷体" w:cs="楷体"/>
                  <w:sz w:val="32"/>
                  <w:szCs w:val="32"/>
                </w:rPr>
                <w:t>5.1技术技能人才培养</w:t>
              </w:r>
            </w:sdtContent>
          </w:sdt>
          <w:r>
            <w:rPr>
              <w:sz w:val="32"/>
              <w:szCs w:val="32"/>
            </w:rPr>
            <w:tab/>
          </w:r>
          <w:bookmarkStart w:id="14" w:name="_Toc23890_WPSOffice_Level2Page"/>
          <w:r>
            <w:rPr>
              <w:sz w:val="32"/>
              <w:szCs w:val="32"/>
            </w:rPr>
            <w:t>3</w:t>
          </w:r>
          <w:bookmarkEnd w:id="14"/>
          <w:r>
            <w:rPr>
              <w:rFonts w:hint="eastAsia"/>
              <w:sz w:val="32"/>
              <w:szCs w:val="32"/>
            </w:rPr>
            <w:t>0</w:t>
          </w:r>
          <w:r>
            <w:rPr>
              <w:rFonts w:hint="eastAsia"/>
              <w:sz w:val="32"/>
              <w:szCs w:val="32"/>
            </w:rPr>
            <w:fldChar w:fldCharType="end"/>
          </w:r>
        </w:p>
        <w:p>
          <w:pPr>
            <w:pStyle w:val="23"/>
            <w:tabs>
              <w:tab w:val="right" w:leader="dot" w:pos="8640"/>
            </w:tabs>
            <w:ind w:left="420"/>
            <w:rPr>
              <w:sz w:val="32"/>
              <w:szCs w:val="32"/>
            </w:rPr>
          </w:pPr>
          <w:r>
            <w:fldChar w:fldCharType="begin"/>
          </w:r>
          <w:r>
            <w:instrText xml:space="preserve"> HYPERLINK \l "_Toc12366_WPSOffice_Level2" </w:instrText>
          </w:r>
          <w:r>
            <w:fldChar w:fldCharType="separate"/>
          </w:r>
          <w:sdt>
            <w:sdtPr>
              <w:rPr>
                <w:kern w:val="2"/>
                <w:sz w:val="36"/>
                <w:szCs w:val="32"/>
              </w:rPr>
              <w:id w:val="135919818"/>
            </w:sdtPr>
            <w:sdtEndPr>
              <w:rPr>
                <w:kern w:val="2"/>
                <w:sz w:val="36"/>
                <w:szCs w:val="32"/>
              </w:rPr>
            </w:sdtEndPr>
            <w:sdtContent>
              <w:r>
                <w:rPr>
                  <w:rFonts w:hint="eastAsia" w:ascii="楷体" w:hAnsi="楷体" w:eastAsia="楷体" w:cs="楷体"/>
                  <w:sz w:val="32"/>
                  <w:szCs w:val="32"/>
                </w:rPr>
                <w:t>5.2社会服务</w:t>
              </w:r>
            </w:sdtContent>
          </w:sdt>
          <w:r>
            <w:rPr>
              <w:sz w:val="32"/>
              <w:szCs w:val="32"/>
            </w:rPr>
            <w:tab/>
          </w:r>
          <w:bookmarkStart w:id="15" w:name="_Toc12366_WPSOffice_Level2Page"/>
          <w:r>
            <w:rPr>
              <w:sz w:val="32"/>
              <w:szCs w:val="32"/>
            </w:rPr>
            <w:t>3</w:t>
          </w:r>
          <w:bookmarkEnd w:id="15"/>
          <w:r>
            <w:rPr>
              <w:rFonts w:hint="eastAsia"/>
              <w:sz w:val="32"/>
              <w:szCs w:val="32"/>
            </w:rPr>
            <w:t>1</w:t>
          </w:r>
          <w:r>
            <w:rPr>
              <w:rFonts w:hint="eastAsia"/>
              <w:sz w:val="32"/>
              <w:szCs w:val="32"/>
            </w:rPr>
            <w:fldChar w:fldCharType="end"/>
          </w:r>
        </w:p>
        <w:p>
          <w:pPr>
            <w:pStyle w:val="23"/>
            <w:tabs>
              <w:tab w:val="right" w:leader="dot" w:pos="8640"/>
            </w:tabs>
            <w:ind w:left="420"/>
            <w:rPr>
              <w:sz w:val="32"/>
              <w:szCs w:val="32"/>
            </w:rPr>
          </w:pPr>
          <w:r>
            <w:rPr>
              <w:rFonts w:hint="eastAsia" w:ascii="楷体" w:hAnsi="楷体" w:eastAsia="楷体" w:cs="楷体"/>
              <w:sz w:val="32"/>
              <w:szCs w:val="32"/>
            </w:rPr>
            <w:t>5.3服务抗疫</w:t>
          </w:r>
          <w:r>
            <w:fldChar w:fldCharType="begin"/>
          </w:r>
          <w:r>
            <w:instrText xml:space="preserve"> HYPERLINK \l "_Toc12366_WPSOffice_Level2" </w:instrText>
          </w:r>
          <w:r>
            <w:fldChar w:fldCharType="separate"/>
          </w:r>
          <w:r>
            <w:rPr>
              <w:sz w:val="32"/>
              <w:szCs w:val="32"/>
            </w:rPr>
            <w:tab/>
          </w:r>
          <w:r>
            <w:rPr>
              <w:rFonts w:hint="eastAsia"/>
              <w:sz w:val="32"/>
              <w:szCs w:val="32"/>
            </w:rPr>
            <w:t>34</w:t>
          </w:r>
          <w:r>
            <w:rPr>
              <w:sz w:val="32"/>
              <w:szCs w:val="32"/>
            </w:rPr>
            <w:fldChar w:fldCharType="end"/>
          </w:r>
        </w:p>
        <w:p>
          <w:pPr>
            <w:pStyle w:val="22"/>
            <w:tabs>
              <w:tab w:val="right" w:leader="dot" w:pos="8640"/>
            </w:tabs>
            <w:rPr>
              <w:sz w:val="32"/>
              <w:szCs w:val="32"/>
            </w:rPr>
          </w:pPr>
          <w:r>
            <w:fldChar w:fldCharType="begin"/>
          </w:r>
          <w:r>
            <w:instrText xml:space="preserve"> HYPERLINK \l "_Toc21570_WPSOffice_Level1" </w:instrText>
          </w:r>
          <w:r>
            <w:fldChar w:fldCharType="separate"/>
          </w:r>
          <w:sdt>
            <w:sdtPr>
              <w:rPr>
                <w:kern w:val="2"/>
                <w:sz w:val="36"/>
                <w:szCs w:val="32"/>
              </w:rPr>
              <w:id w:val="-1066254575"/>
            </w:sdtPr>
            <w:sdtEndPr>
              <w:rPr>
                <w:kern w:val="2"/>
                <w:sz w:val="36"/>
                <w:szCs w:val="32"/>
              </w:rPr>
            </w:sdtEndPr>
            <w:sdtContent>
              <w:r>
                <w:rPr>
                  <w:rFonts w:hint="eastAsia" w:ascii="黑体" w:hAnsi="黑体" w:eastAsia="黑体" w:cs="黑体"/>
                  <w:sz w:val="32"/>
                  <w:szCs w:val="32"/>
                </w:rPr>
                <w:t>6.政府履责</w:t>
              </w:r>
            </w:sdtContent>
          </w:sdt>
          <w:r>
            <w:rPr>
              <w:sz w:val="32"/>
              <w:szCs w:val="32"/>
            </w:rPr>
            <w:tab/>
          </w:r>
          <w:r>
            <w:rPr>
              <w:rFonts w:hint="eastAsia"/>
              <w:sz w:val="32"/>
              <w:szCs w:val="32"/>
            </w:rPr>
            <w:t>35</w:t>
          </w:r>
          <w:r>
            <w:rPr>
              <w:rFonts w:hint="eastAsia"/>
              <w:sz w:val="32"/>
              <w:szCs w:val="32"/>
            </w:rPr>
            <w:fldChar w:fldCharType="end"/>
          </w:r>
        </w:p>
        <w:p>
          <w:pPr>
            <w:pStyle w:val="23"/>
            <w:tabs>
              <w:tab w:val="right" w:leader="dot" w:pos="8640"/>
            </w:tabs>
            <w:ind w:left="420"/>
            <w:rPr>
              <w:sz w:val="32"/>
              <w:szCs w:val="32"/>
            </w:rPr>
          </w:pPr>
          <w:r>
            <w:fldChar w:fldCharType="begin"/>
          </w:r>
          <w:r>
            <w:instrText xml:space="preserve"> HYPERLINK \l "_Toc12265_WPSOffice_Level2" </w:instrText>
          </w:r>
          <w:r>
            <w:fldChar w:fldCharType="separate"/>
          </w:r>
          <w:sdt>
            <w:sdtPr>
              <w:rPr>
                <w:kern w:val="2"/>
                <w:sz w:val="36"/>
                <w:szCs w:val="32"/>
              </w:rPr>
              <w:id w:val="-1071037567"/>
            </w:sdtPr>
            <w:sdtEndPr>
              <w:rPr>
                <w:kern w:val="2"/>
                <w:sz w:val="36"/>
                <w:szCs w:val="32"/>
              </w:rPr>
            </w:sdtEndPr>
            <w:sdtContent>
              <w:r>
                <w:rPr>
                  <w:rFonts w:hint="eastAsia" w:ascii="楷体" w:hAnsi="楷体" w:eastAsia="楷体" w:cs="楷体"/>
                  <w:sz w:val="32"/>
                  <w:szCs w:val="32"/>
                </w:rPr>
                <w:t>6.1经费</w:t>
              </w:r>
            </w:sdtContent>
          </w:sdt>
          <w:r>
            <w:rPr>
              <w:sz w:val="32"/>
              <w:szCs w:val="32"/>
            </w:rPr>
            <w:tab/>
          </w:r>
          <w:r>
            <w:rPr>
              <w:rFonts w:hint="eastAsia"/>
              <w:sz w:val="32"/>
              <w:szCs w:val="32"/>
            </w:rPr>
            <w:t>35</w:t>
          </w:r>
          <w:r>
            <w:rPr>
              <w:rFonts w:hint="eastAsia"/>
              <w:sz w:val="32"/>
              <w:szCs w:val="32"/>
            </w:rPr>
            <w:fldChar w:fldCharType="end"/>
          </w:r>
        </w:p>
        <w:p>
          <w:pPr>
            <w:pStyle w:val="23"/>
            <w:tabs>
              <w:tab w:val="right" w:leader="dot" w:pos="8640"/>
            </w:tabs>
            <w:ind w:left="420"/>
            <w:rPr>
              <w:sz w:val="32"/>
              <w:szCs w:val="32"/>
            </w:rPr>
          </w:pPr>
          <w:r>
            <w:fldChar w:fldCharType="begin"/>
          </w:r>
          <w:r>
            <w:instrText xml:space="preserve"> HYPERLINK \l "_Toc1881_WPSOffice_Level2" </w:instrText>
          </w:r>
          <w:r>
            <w:fldChar w:fldCharType="separate"/>
          </w:r>
          <w:sdt>
            <w:sdtPr>
              <w:rPr>
                <w:kern w:val="2"/>
                <w:sz w:val="36"/>
                <w:szCs w:val="32"/>
              </w:rPr>
              <w:id w:val="-276483416"/>
            </w:sdtPr>
            <w:sdtEndPr>
              <w:rPr>
                <w:kern w:val="2"/>
                <w:sz w:val="36"/>
                <w:szCs w:val="32"/>
              </w:rPr>
            </w:sdtEndPr>
            <w:sdtContent>
              <w:r>
                <w:rPr>
                  <w:rFonts w:hint="eastAsia" w:ascii="楷体" w:hAnsi="楷体" w:eastAsia="楷体" w:cs="楷体"/>
                  <w:sz w:val="32"/>
                  <w:szCs w:val="32"/>
                </w:rPr>
                <w:t>6.1政策措施</w:t>
              </w:r>
            </w:sdtContent>
          </w:sdt>
          <w:r>
            <w:rPr>
              <w:sz w:val="32"/>
              <w:szCs w:val="32"/>
            </w:rPr>
            <w:tab/>
          </w:r>
          <w:r>
            <w:rPr>
              <w:rFonts w:hint="eastAsia"/>
              <w:sz w:val="32"/>
              <w:szCs w:val="32"/>
            </w:rPr>
            <w:t>36</w:t>
          </w:r>
          <w:r>
            <w:rPr>
              <w:rFonts w:hint="eastAsia"/>
              <w:sz w:val="32"/>
              <w:szCs w:val="32"/>
            </w:rPr>
            <w:fldChar w:fldCharType="end"/>
          </w:r>
        </w:p>
        <w:p>
          <w:pPr>
            <w:pStyle w:val="22"/>
            <w:tabs>
              <w:tab w:val="right" w:leader="dot" w:pos="8640"/>
            </w:tabs>
            <w:rPr>
              <w:sz w:val="32"/>
              <w:szCs w:val="32"/>
            </w:rPr>
          </w:pPr>
          <w:r>
            <w:fldChar w:fldCharType="begin"/>
          </w:r>
          <w:r>
            <w:instrText xml:space="preserve"> HYPERLINK \l "_Toc4056_WPSOffice_Level1" </w:instrText>
          </w:r>
          <w:r>
            <w:fldChar w:fldCharType="separate"/>
          </w:r>
          <w:sdt>
            <w:sdtPr>
              <w:rPr>
                <w:kern w:val="2"/>
                <w:sz w:val="36"/>
                <w:szCs w:val="32"/>
              </w:rPr>
              <w:id w:val="-1214954879"/>
            </w:sdtPr>
            <w:sdtEndPr>
              <w:rPr>
                <w:kern w:val="2"/>
                <w:sz w:val="36"/>
                <w:szCs w:val="32"/>
              </w:rPr>
            </w:sdtEndPr>
            <w:sdtContent>
              <w:r>
                <w:rPr>
                  <w:rFonts w:hint="eastAsia" w:ascii="黑体" w:hAnsi="黑体" w:eastAsia="黑体" w:cs="黑体"/>
                  <w:sz w:val="32"/>
                  <w:szCs w:val="32"/>
                </w:rPr>
                <w:t>7.特色创新</w:t>
              </w:r>
            </w:sdtContent>
          </w:sdt>
          <w:r>
            <w:rPr>
              <w:sz w:val="32"/>
              <w:szCs w:val="32"/>
            </w:rPr>
            <w:tab/>
          </w:r>
          <w:bookmarkStart w:id="16" w:name="_Toc4056_WPSOffice_Level1Page"/>
          <w:r>
            <w:rPr>
              <w:sz w:val="32"/>
              <w:szCs w:val="32"/>
            </w:rPr>
            <w:t>3</w:t>
          </w:r>
          <w:bookmarkEnd w:id="16"/>
          <w:r>
            <w:rPr>
              <w:rFonts w:hint="eastAsia"/>
              <w:sz w:val="32"/>
              <w:szCs w:val="32"/>
            </w:rPr>
            <w:t>8</w:t>
          </w:r>
          <w:r>
            <w:rPr>
              <w:rFonts w:hint="eastAsia"/>
              <w:sz w:val="32"/>
              <w:szCs w:val="32"/>
            </w:rPr>
            <w:fldChar w:fldCharType="end"/>
          </w:r>
        </w:p>
        <w:p>
          <w:pPr>
            <w:pStyle w:val="23"/>
            <w:tabs>
              <w:tab w:val="right" w:leader="dot" w:pos="8640"/>
            </w:tabs>
            <w:ind w:left="420"/>
            <w:rPr>
              <w:sz w:val="32"/>
              <w:szCs w:val="32"/>
            </w:rPr>
          </w:pPr>
          <w:r>
            <w:fldChar w:fldCharType="begin"/>
          </w:r>
          <w:r>
            <w:instrText xml:space="preserve"> HYPERLINK \l "_Toc32368_WPSOffice_Level2" </w:instrText>
          </w:r>
          <w:r>
            <w:fldChar w:fldCharType="separate"/>
          </w:r>
          <w:sdt>
            <w:sdtPr>
              <w:rPr>
                <w:kern w:val="2"/>
                <w:sz w:val="36"/>
                <w:szCs w:val="32"/>
              </w:rPr>
              <w:id w:val="-1370596390"/>
            </w:sdtPr>
            <w:sdtEndPr>
              <w:rPr>
                <w:kern w:val="2"/>
                <w:sz w:val="36"/>
                <w:szCs w:val="32"/>
              </w:rPr>
            </w:sdtEndPr>
            <w:sdtContent>
              <w:r>
                <w:rPr>
                  <w:rFonts w:hint="eastAsia" w:ascii="楷体" w:hAnsi="楷体" w:eastAsia="楷体" w:cs="楷体"/>
                  <w:sz w:val="32"/>
                  <w:szCs w:val="32"/>
                </w:rPr>
                <w:t>7.1</w:t>
              </w:r>
              <w:r>
                <w:rPr>
                  <w:rFonts w:hint="eastAsia" w:ascii="仿宋" w:hAnsi="仿宋" w:eastAsia="仿宋" w:cs="仿宋"/>
                  <w:sz w:val="32"/>
                  <w:szCs w:val="32"/>
                </w:rPr>
                <w:t xml:space="preserve">案例一：郑州市金融学校——信息化应用助推学校教育教学管理变革 </w:t>
              </w:r>
            </w:sdtContent>
          </w:sdt>
          <w:r>
            <w:rPr>
              <w:sz w:val="32"/>
              <w:szCs w:val="32"/>
            </w:rPr>
            <w:tab/>
          </w:r>
          <w:bookmarkStart w:id="17" w:name="_Toc32368_WPSOffice_Level2Page"/>
          <w:r>
            <w:rPr>
              <w:sz w:val="32"/>
              <w:szCs w:val="32"/>
            </w:rPr>
            <w:t>3</w:t>
          </w:r>
          <w:bookmarkEnd w:id="17"/>
          <w:r>
            <w:rPr>
              <w:rFonts w:hint="eastAsia"/>
              <w:sz w:val="32"/>
              <w:szCs w:val="32"/>
            </w:rPr>
            <w:t>8</w:t>
          </w:r>
          <w:r>
            <w:rPr>
              <w:rFonts w:hint="eastAsia"/>
              <w:sz w:val="32"/>
              <w:szCs w:val="32"/>
            </w:rPr>
            <w:fldChar w:fldCharType="end"/>
          </w:r>
        </w:p>
        <w:p>
          <w:pPr>
            <w:pStyle w:val="23"/>
            <w:tabs>
              <w:tab w:val="right" w:leader="dot" w:pos="8640"/>
            </w:tabs>
            <w:ind w:left="420"/>
            <w:rPr>
              <w:sz w:val="32"/>
              <w:szCs w:val="32"/>
            </w:rPr>
          </w:pPr>
          <w:r>
            <w:fldChar w:fldCharType="begin"/>
          </w:r>
          <w:r>
            <w:instrText xml:space="preserve"> HYPERLINK \l "_Toc24672_WPSOffice_Level2" </w:instrText>
          </w:r>
          <w:r>
            <w:fldChar w:fldCharType="separate"/>
          </w:r>
          <w:sdt>
            <w:sdtPr>
              <w:rPr>
                <w:kern w:val="2"/>
                <w:sz w:val="36"/>
                <w:szCs w:val="32"/>
              </w:rPr>
              <w:id w:val="163991095"/>
            </w:sdtPr>
            <w:sdtEndPr>
              <w:rPr>
                <w:kern w:val="2"/>
                <w:sz w:val="36"/>
                <w:szCs w:val="32"/>
              </w:rPr>
            </w:sdtEndPr>
            <w:sdtContent>
              <w:r>
                <w:rPr>
                  <w:rFonts w:hint="eastAsia" w:ascii="楷体" w:hAnsi="楷体" w:eastAsia="楷体" w:cs="楷体"/>
                  <w:sz w:val="32"/>
                  <w:szCs w:val="32"/>
                </w:rPr>
                <w:t>7.2</w:t>
              </w:r>
              <w:r>
                <w:rPr>
                  <w:rFonts w:hint="eastAsia" w:ascii="仿宋_GB2312" w:hAnsi="仿宋_GB2312" w:eastAsia="仿宋_GB2312" w:cs="仿宋_GB2312"/>
                  <w:sz w:val="32"/>
                  <w:szCs w:val="32"/>
                </w:rPr>
                <w:t>案例二：郑州市经济贸易学校——与时代发展同频共振 实训改革展职教风采</w:t>
              </w:r>
            </w:sdtContent>
          </w:sdt>
          <w:r>
            <w:rPr>
              <w:sz w:val="32"/>
              <w:szCs w:val="32"/>
            </w:rPr>
            <w:tab/>
          </w:r>
          <w:bookmarkStart w:id="18" w:name="_Toc24672_WPSOffice_Level2Page"/>
          <w:r>
            <w:rPr>
              <w:rFonts w:hint="eastAsia"/>
              <w:sz w:val="32"/>
              <w:szCs w:val="32"/>
            </w:rPr>
            <w:t>4</w:t>
          </w:r>
          <w:r>
            <w:rPr>
              <w:sz w:val="32"/>
              <w:szCs w:val="32"/>
            </w:rPr>
            <w:t>3</w:t>
          </w:r>
          <w:bookmarkEnd w:id="18"/>
          <w:r>
            <w:rPr>
              <w:sz w:val="32"/>
              <w:szCs w:val="32"/>
            </w:rPr>
            <w:fldChar w:fldCharType="end"/>
          </w:r>
        </w:p>
        <w:p>
          <w:pPr>
            <w:pStyle w:val="22"/>
            <w:tabs>
              <w:tab w:val="right" w:leader="dot" w:pos="8640"/>
            </w:tabs>
            <w:rPr>
              <w:sz w:val="32"/>
              <w:szCs w:val="32"/>
            </w:rPr>
          </w:pPr>
          <w:r>
            <w:fldChar w:fldCharType="begin"/>
          </w:r>
          <w:r>
            <w:instrText xml:space="preserve"> HYPERLINK \l "_Toc25413_WPSOffice_Level1" </w:instrText>
          </w:r>
          <w:r>
            <w:fldChar w:fldCharType="separate"/>
          </w:r>
          <w:sdt>
            <w:sdtPr>
              <w:rPr>
                <w:kern w:val="2"/>
                <w:sz w:val="36"/>
                <w:szCs w:val="32"/>
              </w:rPr>
              <w:id w:val="-569113033"/>
            </w:sdtPr>
            <w:sdtEndPr>
              <w:rPr>
                <w:kern w:val="2"/>
                <w:sz w:val="36"/>
                <w:szCs w:val="32"/>
              </w:rPr>
            </w:sdtEndPr>
            <w:sdtContent>
              <w:r>
                <w:rPr>
                  <w:rFonts w:hint="eastAsia" w:ascii="黑体" w:hAnsi="黑体" w:eastAsia="黑体" w:cs="黑体"/>
                  <w:sz w:val="32"/>
                  <w:szCs w:val="32"/>
                </w:rPr>
                <w:t>8.学校党建工作</w:t>
              </w:r>
            </w:sdtContent>
          </w:sdt>
          <w:r>
            <w:rPr>
              <w:sz w:val="32"/>
              <w:szCs w:val="32"/>
            </w:rPr>
            <w:tab/>
          </w:r>
          <w:bookmarkStart w:id="19" w:name="_Toc25413_WPSOffice_Level1Page"/>
          <w:r>
            <w:rPr>
              <w:sz w:val="32"/>
              <w:szCs w:val="32"/>
            </w:rPr>
            <w:t>4</w:t>
          </w:r>
          <w:bookmarkEnd w:id="19"/>
          <w:r>
            <w:rPr>
              <w:rFonts w:hint="eastAsia"/>
              <w:sz w:val="32"/>
              <w:szCs w:val="32"/>
            </w:rPr>
            <w:t>9</w:t>
          </w:r>
          <w:r>
            <w:rPr>
              <w:rFonts w:hint="eastAsia"/>
              <w:sz w:val="32"/>
              <w:szCs w:val="32"/>
            </w:rPr>
            <w:fldChar w:fldCharType="end"/>
          </w:r>
        </w:p>
        <w:p>
          <w:pPr>
            <w:pStyle w:val="22"/>
            <w:tabs>
              <w:tab w:val="right" w:leader="dot" w:pos="8640"/>
            </w:tabs>
            <w:rPr>
              <w:sz w:val="32"/>
              <w:szCs w:val="32"/>
            </w:rPr>
          </w:pPr>
          <w:r>
            <w:fldChar w:fldCharType="begin"/>
          </w:r>
          <w:r>
            <w:instrText xml:space="preserve"> HYPERLINK \l "_Toc23079_WPSOffice_Level1" </w:instrText>
          </w:r>
          <w:r>
            <w:fldChar w:fldCharType="separate"/>
          </w:r>
          <w:sdt>
            <w:sdtPr>
              <w:rPr>
                <w:kern w:val="2"/>
                <w:sz w:val="36"/>
                <w:szCs w:val="32"/>
              </w:rPr>
              <w:id w:val="-1300298056"/>
            </w:sdtPr>
            <w:sdtEndPr>
              <w:rPr>
                <w:kern w:val="2"/>
                <w:sz w:val="36"/>
                <w:szCs w:val="32"/>
              </w:rPr>
            </w:sdtEndPr>
            <w:sdtContent>
              <w:r>
                <w:rPr>
                  <w:rFonts w:hint="eastAsia" w:ascii="黑体" w:hAnsi="黑体" w:eastAsia="黑体" w:cs="黑体"/>
                  <w:sz w:val="32"/>
                  <w:szCs w:val="32"/>
                </w:rPr>
                <w:t>9.主要问题和改进措施</w:t>
              </w:r>
            </w:sdtContent>
          </w:sdt>
          <w:r>
            <w:rPr>
              <w:sz w:val="32"/>
              <w:szCs w:val="32"/>
            </w:rPr>
            <w:tab/>
          </w:r>
          <w:bookmarkStart w:id="20" w:name="_Toc23079_WPSOffice_Level1Page"/>
          <w:r>
            <w:rPr>
              <w:rFonts w:hint="eastAsia"/>
              <w:sz w:val="32"/>
              <w:szCs w:val="32"/>
            </w:rPr>
            <w:t>5</w:t>
          </w:r>
          <w:bookmarkEnd w:id="20"/>
          <w:r>
            <w:rPr>
              <w:rFonts w:hint="eastAsia"/>
              <w:sz w:val="32"/>
              <w:szCs w:val="32"/>
            </w:rPr>
            <w:t>0</w:t>
          </w:r>
          <w:r>
            <w:rPr>
              <w:rFonts w:hint="eastAsia"/>
              <w:sz w:val="32"/>
              <w:szCs w:val="32"/>
            </w:rPr>
            <w:fldChar w:fldCharType="end"/>
          </w:r>
        </w:p>
        <w:p>
          <w:pPr>
            <w:pStyle w:val="23"/>
            <w:tabs>
              <w:tab w:val="right" w:leader="dot" w:pos="8640"/>
            </w:tabs>
            <w:ind w:left="420"/>
            <w:rPr>
              <w:sz w:val="32"/>
              <w:szCs w:val="32"/>
            </w:rPr>
          </w:pPr>
          <w:r>
            <w:fldChar w:fldCharType="begin"/>
          </w:r>
          <w:r>
            <w:instrText xml:space="preserve"> HYPERLINK \l "_Toc2707_WPSOffice_Level2" </w:instrText>
          </w:r>
          <w:r>
            <w:fldChar w:fldCharType="separate"/>
          </w:r>
          <w:sdt>
            <w:sdtPr>
              <w:rPr>
                <w:kern w:val="2"/>
                <w:sz w:val="36"/>
                <w:szCs w:val="32"/>
              </w:rPr>
              <w:id w:val="-8996092"/>
            </w:sdtPr>
            <w:sdtEndPr>
              <w:rPr>
                <w:kern w:val="2"/>
                <w:sz w:val="36"/>
                <w:szCs w:val="32"/>
              </w:rPr>
            </w:sdtEndPr>
            <w:sdtContent>
              <w:r>
                <w:rPr>
                  <w:rFonts w:hint="eastAsia" w:ascii="楷体" w:hAnsi="楷体" w:eastAsia="楷体" w:cs="楷体"/>
                  <w:sz w:val="32"/>
                  <w:szCs w:val="32"/>
                </w:rPr>
                <w:t>9.1存在问题</w:t>
              </w:r>
            </w:sdtContent>
          </w:sdt>
          <w:r>
            <w:rPr>
              <w:sz w:val="32"/>
              <w:szCs w:val="32"/>
            </w:rPr>
            <w:tab/>
          </w:r>
          <w:r>
            <w:rPr>
              <w:rFonts w:hint="eastAsia"/>
              <w:sz w:val="32"/>
              <w:szCs w:val="32"/>
            </w:rPr>
            <w:t>50</w:t>
          </w:r>
          <w:r>
            <w:rPr>
              <w:rFonts w:hint="eastAsia"/>
              <w:sz w:val="32"/>
              <w:szCs w:val="32"/>
            </w:rPr>
            <w:fldChar w:fldCharType="end"/>
          </w:r>
        </w:p>
        <w:p>
          <w:pPr>
            <w:pStyle w:val="23"/>
            <w:tabs>
              <w:tab w:val="right" w:leader="dot" w:pos="8640"/>
            </w:tabs>
            <w:ind w:left="420"/>
          </w:pPr>
          <w:r>
            <w:fldChar w:fldCharType="begin"/>
          </w:r>
          <w:r>
            <w:instrText xml:space="preserve"> HYPERLINK \l "_Toc2502_WPSOffice_Level2" </w:instrText>
          </w:r>
          <w:r>
            <w:fldChar w:fldCharType="separate"/>
          </w:r>
          <w:sdt>
            <w:sdtPr>
              <w:rPr>
                <w:kern w:val="2"/>
                <w:sz w:val="36"/>
                <w:szCs w:val="32"/>
              </w:rPr>
              <w:id w:val="-448477957"/>
            </w:sdtPr>
            <w:sdtEndPr>
              <w:rPr>
                <w:kern w:val="2"/>
                <w:sz w:val="36"/>
                <w:szCs w:val="32"/>
              </w:rPr>
            </w:sdtEndPr>
            <w:sdtContent>
              <w:r>
                <w:rPr>
                  <w:rFonts w:hint="eastAsia" w:ascii="楷体" w:hAnsi="楷体" w:eastAsia="楷体" w:cs="楷体"/>
                  <w:sz w:val="32"/>
                  <w:szCs w:val="32"/>
                </w:rPr>
                <w:t>9.2 改进措施</w:t>
              </w:r>
            </w:sdtContent>
          </w:sdt>
          <w:r>
            <w:rPr>
              <w:sz w:val="32"/>
              <w:szCs w:val="32"/>
            </w:rPr>
            <w:tab/>
          </w:r>
          <w:bookmarkStart w:id="21" w:name="_Toc2502_WPSOffice_Level2Page"/>
          <w:r>
            <w:rPr>
              <w:rFonts w:hint="eastAsia"/>
              <w:sz w:val="32"/>
              <w:szCs w:val="32"/>
            </w:rPr>
            <w:t>5</w:t>
          </w:r>
          <w:bookmarkEnd w:id="21"/>
          <w:r>
            <w:rPr>
              <w:rFonts w:hint="eastAsia"/>
              <w:sz w:val="32"/>
              <w:szCs w:val="32"/>
            </w:rPr>
            <w:t>2</w:t>
          </w:r>
          <w:r>
            <w:rPr>
              <w:rFonts w:hint="eastAsia"/>
              <w:sz w:val="32"/>
              <w:szCs w:val="32"/>
            </w:rPr>
            <w:fldChar w:fldCharType="end"/>
          </w:r>
        </w:p>
      </w:sdtContent>
    </w:sdt>
    <w:bookmarkEnd w:id="0"/>
    <w:p>
      <w:pPr>
        <w:jc w:val="center"/>
        <w:rPr>
          <w:rFonts w:ascii="方正小标宋简体" w:hAnsi="方正小标宋简体" w:eastAsia="方正小标宋简体" w:cs="方正小标宋简体"/>
          <w:sz w:val="44"/>
        </w:rPr>
      </w:pPr>
      <w:bookmarkStart w:id="22" w:name="_Toc3282_WPSOffice_Level1"/>
      <w:bookmarkStart w:id="23" w:name="_Toc12409_WPSOffice_Level1"/>
      <w:bookmarkStart w:id="24" w:name="_Toc4585_WPSOffice_Level1"/>
      <w:bookmarkStart w:id="25" w:name="_Toc841_WPSOffice_Level1"/>
      <w:bookmarkStart w:id="26" w:name="_Toc28586_WPSOffice_Level1"/>
      <w:bookmarkStart w:id="27" w:name="_Toc748_WPSOffice_Level1"/>
    </w:p>
    <w:p>
      <w:pPr>
        <w:jc w:val="center"/>
        <w:rPr>
          <w:rFonts w:ascii="方正小标宋简体" w:hAnsi="方正小标宋简体" w:eastAsia="方正小标宋简体" w:cs="方正小标宋简体"/>
          <w:sz w:val="44"/>
        </w:rPr>
      </w:pPr>
    </w:p>
    <w:p>
      <w:pPr>
        <w:jc w:val="center"/>
        <w:rPr>
          <w:rFonts w:ascii="方正小标宋简体" w:hAnsi="方正小标宋简体" w:eastAsia="方正小标宋简体" w:cs="方正小标宋简体"/>
          <w:sz w:val="44"/>
        </w:rPr>
      </w:pPr>
    </w:p>
    <w:p>
      <w:pPr>
        <w:rPr>
          <w:rFonts w:ascii="方正小标宋简体" w:hAnsi="方正小标宋简体" w:eastAsia="方正小标宋简体" w:cs="方正小标宋简体"/>
          <w:sz w:val="44"/>
        </w:rPr>
      </w:pPr>
    </w:p>
    <w:bookmarkEnd w:id="22"/>
    <w:bookmarkEnd w:id="23"/>
    <w:bookmarkEnd w:id="24"/>
    <w:bookmarkEnd w:id="25"/>
    <w:bookmarkEnd w:id="26"/>
    <w:bookmarkEnd w:id="27"/>
    <w:p>
      <w:pPr>
        <w:jc w:val="center"/>
        <w:rPr>
          <w:rFonts w:ascii="方正小标宋简体" w:hAnsi="方正小标宋简体" w:eastAsia="方正小标宋简体" w:cs="方正小标宋简体"/>
          <w:sz w:val="44"/>
        </w:rPr>
      </w:pPr>
      <w:r>
        <w:rPr>
          <w:rFonts w:hint="eastAsia" w:ascii="方正小标宋简体" w:hAnsi="方正小标宋简体" w:eastAsia="方正小标宋简体" w:cs="方正小标宋简体"/>
          <w:sz w:val="44"/>
        </w:rPr>
        <w:t>前  言</w:t>
      </w:r>
    </w:p>
    <w:p>
      <w:pPr>
        <w:widowControl w:val="0"/>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2020年，郑州市中等职业教育</w:t>
      </w:r>
      <w:r>
        <w:rPr>
          <w:rFonts w:hint="eastAsia" w:ascii="仿宋_GB2312" w:hAnsi="仿宋_GB2312" w:eastAsia="仿宋_GB2312" w:cs="仿宋_GB2312"/>
          <w:sz w:val="32"/>
          <w:szCs w:val="32"/>
        </w:rPr>
        <w:t>以习近平新时代中国特色社会主义思想为指导，深入学习贯彻十九大以来历次中央全会精神，</w:t>
      </w:r>
      <w:r>
        <w:rPr>
          <w:rFonts w:hint="eastAsia" w:ascii="仿宋" w:hAnsi="仿宋" w:eastAsia="仿宋" w:cs="仿宋"/>
          <w:spacing w:val="7"/>
          <w:sz w:val="32"/>
          <w:szCs w:val="32"/>
          <w:shd w:val="clear" w:color="auto" w:fill="FFFFFF"/>
        </w:rPr>
        <w:t>积极落实《国家职业教育改革实施方案》《职业教育提质培优行动计划（2020-2023年）》《河南省职业教育改革实施方案》要求，以</w:t>
      </w:r>
      <w:r>
        <w:rPr>
          <w:rFonts w:hint="eastAsia" w:ascii="仿宋_GB2312" w:hAnsi="仿宋_GB2312" w:eastAsia="仿宋_GB2312" w:cs="仿宋_GB2312"/>
          <w:sz w:val="32"/>
          <w:szCs w:val="32"/>
        </w:rPr>
        <w:t>立德树人为根本，坚持服务高质量发展、促进高水平就业的办学方向</w:t>
      </w:r>
      <w:r>
        <w:rPr>
          <w:rFonts w:hint="eastAsia" w:ascii="仿宋_GB2312" w:hAnsi="仿宋_GB2312" w:eastAsia="仿宋_GB2312" w:cs="仿宋_GB2312"/>
          <w:sz w:val="32"/>
          <w:szCs w:val="32"/>
          <w:shd w:val="clear" w:color="auto" w:fill="FFFFFF"/>
        </w:rPr>
        <w:t>，</w:t>
      </w:r>
      <w:r>
        <w:rPr>
          <w:rFonts w:hint="eastAsia" w:ascii="仿宋" w:hAnsi="仿宋" w:eastAsia="仿宋" w:cs="仿宋"/>
          <w:spacing w:val="7"/>
          <w:sz w:val="32"/>
          <w:szCs w:val="32"/>
          <w:shd w:val="clear" w:color="auto" w:fill="FFFFFF"/>
        </w:rPr>
        <w:t>着力落实职业教育的类型教育战略定位。在疫情防控常态化下，夯基础、强保障、促内涵、深改革、激活力，不断提高办学水平和服务经济社会发展能力，人才培养质量显著提升，为区域经济社会发展提供有力的支持</w:t>
      </w:r>
      <w:r>
        <w:rPr>
          <w:rFonts w:hint="eastAsia" w:ascii="仿宋_GB2312" w:hAnsi="仿宋_GB2312" w:eastAsia="仿宋_GB2312" w:cs="仿宋_GB2312"/>
          <w:sz w:val="32"/>
          <w:szCs w:val="32"/>
          <w:shd w:val="clear" w:color="auto" w:fill="FFFFFF"/>
        </w:rPr>
        <w:t>。</w:t>
      </w:r>
    </w:p>
    <w:p>
      <w:pPr>
        <w:pStyle w:val="12"/>
        <w:spacing w:before="0" w:beforeAutospacing="0" w:after="0" w:afterAutospacing="0"/>
        <w:ind w:firstLine="668" w:firstLineChars="200"/>
        <w:textAlignment w:val="baseline"/>
        <w:rPr>
          <w:rFonts w:ascii="仿宋" w:hAnsi="仿宋" w:eastAsia="仿宋" w:cs="仿宋"/>
          <w:spacing w:val="7"/>
          <w:sz w:val="32"/>
          <w:szCs w:val="32"/>
          <w:shd w:val="clear" w:color="auto" w:fill="FFFFFF"/>
        </w:rPr>
      </w:pPr>
      <w:r>
        <w:rPr>
          <w:rFonts w:hint="eastAsia" w:ascii="仿宋" w:hAnsi="仿宋" w:eastAsia="仿宋" w:cs="仿宋"/>
          <w:spacing w:val="7"/>
          <w:sz w:val="32"/>
          <w:szCs w:val="32"/>
          <w:shd w:val="clear" w:color="auto" w:fill="FFFFFF"/>
        </w:rPr>
        <w:t>根据《河南省教育厅办公室关于做好2020年职业教育质量报告编制发布和报送工作的通知》（教职成函〔2020〕670号）精神，就郑州市中等职业教育学校发展情况、人才培养质量、质量保障措施、社会服务质量、政府履责情况等维度发布2020年郑州市中等职业教育质量年度报告。</w:t>
      </w:r>
    </w:p>
    <w:p>
      <w:pPr>
        <w:pStyle w:val="12"/>
        <w:spacing w:before="0" w:beforeAutospacing="0" w:after="0" w:afterAutospacing="0"/>
        <w:ind w:firstLine="668" w:firstLineChars="200"/>
        <w:textAlignment w:val="baseline"/>
        <w:rPr>
          <w:rFonts w:ascii="仿宋" w:hAnsi="仿宋" w:eastAsia="仿宋" w:cs="仿宋"/>
          <w:spacing w:val="7"/>
          <w:sz w:val="32"/>
          <w:szCs w:val="32"/>
          <w:shd w:val="clear" w:color="auto" w:fill="FFFFFF"/>
        </w:rPr>
      </w:pPr>
    </w:p>
    <w:p>
      <w:pPr>
        <w:widowControl w:val="0"/>
        <w:jc w:val="left"/>
        <w:rPr>
          <w:rFonts w:ascii="黑体" w:hAnsi="黑体" w:eastAsia="黑体" w:cs="黑体"/>
          <w:sz w:val="36"/>
          <w:szCs w:val="36"/>
        </w:rPr>
      </w:pPr>
      <w:bookmarkStart w:id="28" w:name="_Toc26023"/>
      <w:bookmarkStart w:id="29" w:name="_Toc13651_WPSOffice_Level1"/>
      <w:bookmarkStart w:id="30" w:name="_Toc6818_WPSOffice_Level1"/>
    </w:p>
    <w:p>
      <w:pPr>
        <w:widowControl w:val="0"/>
        <w:jc w:val="center"/>
        <w:rPr>
          <w:rFonts w:ascii="黑体" w:hAnsi="黑体" w:eastAsia="黑体" w:cs="黑体"/>
          <w:sz w:val="36"/>
          <w:szCs w:val="36"/>
        </w:rPr>
      </w:pPr>
    </w:p>
    <w:p>
      <w:pPr>
        <w:widowControl w:val="0"/>
        <w:jc w:val="center"/>
        <w:rPr>
          <w:rFonts w:ascii="黑体" w:hAnsi="黑体" w:eastAsia="黑体" w:cs="黑体"/>
          <w:sz w:val="36"/>
          <w:szCs w:val="36"/>
        </w:rPr>
      </w:pPr>
    </w:p>
    <w:p>
      <w:pPr>
        <w:widowControl w:val="0"/>
        <w:jc w:val="center"/>
        <w:rPr>
          <w:rFonts w:ascii="楷体" w:hAnsi="楷体" w:eastAsia="楷体" w:cs="楷体"/>
          <w:b/>
          <w:bCs/>
          <w:sz w:val="32"/>
          <w:szCs w:val="32"/>
        </w:rPr>
      </w:pPr>
      <w:r>
        <w:rPr>
          <w:rFonts w:hint="eastAsia" w:ascii="黑体" w:hAnsi="黑体" w:eastAsia="黑体" w:cs="黑体"/>
          <w:sz w:val="36"/>
          <w:szCs w:val="36"/>
        </w:rPr>
        <w:t>第一部分  基本情况</w:t>
      </w:r>
      <w:bookmarkEnd w:id="28"/>
      <w:bookmarkEnd w:id="29"/>
      <w:bookmarkEnd w:id="30"/>
      <w:bookmarkStart w:id="31" w:name="_Toc14695"/>
      <w:bookmarkStart w:id="32" w:name="_Toc23638_WPSOffice_Level2"/>
      <w:bookmarkStart w:id="33" w:name="_Toc10402_WPSOffice_Level2"/>
    </w:p>
    <w:p>
      <w:pPr>
        <w:widowControl w:val="0"/>
        <w:ind w:firstLine="643" w:firstLineChars="200"/>
        <w:rPr>
          <w:rFonts w:ascii="楷体" w:hAnsi="楷体" w:eastAsia="楷体" w:cs="楷体"/>
          <w:b/>
          <w:bCs/>
          <w:sz w:val="32"/>
          <w:szCs w:val="32"/>
        </w:rPr>
      </w:pPr>
      <w:r>
        <w:rPr>
          <w:rFonts w:hint="eastAsia" w:ascii="楷体" w:hAnsi="楷体" w:eastAsia="楷体" w:cs="楷体"/>
          <w:b/>
          <w:bCs/>
          <w:sz w:val="32"/>
          <w:szCs w:val="32"/>
        </w:rPr>
        <w:t>1.1规模和结构</w:t>
      </w:r>
      <w:bookmarkEnd w:id="31"/>
      <w:bookmarkEnd w:id="32"/>
      <w:bookmarkEnd w:id="33"/>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2020年，郑州市具备招生资质的中等专业学校共有57所，其中公办学校19所（市教育局直属学校9所，行业办学校1所，县市区属学校8所，特殊教育学校1所），民办学校38所。国家级重点中等职业学校12所，国家改革发展示范校3所，河南省职业教育品牌示范校5所，河南省职业教育特色校13所，河南省高水平职业院校4所，三年在校生人数达到20.5万人，占高中阶段教育在校生总数的49.72%。</w:t>
      </w:r>
      <w:r>
        <w:rPr>
          <w:rFonts w:hint="eastAsia" w:ascii="仿宋_GB2312" w:hAnsi="仿宋_GB2312" w:eastAsia="仿宋_GB2312" w:cs="仿宋_GB2312"/>
          <w:kern w:val="0"/>
          <w:sz w:val="32"/>
          <w:szCs w:val="32"/>
          <w:shd w:val="clear" w:color="auto" w:fill="FFFFFF"/>
        </w:rPr>
        <w:t>各类职业技能培训年均60万人次</w:t>
      </w:r>
      <w:r>
        <w:rPr>
          <w:rFonts w:hint="eastAsia" w:ascii="仿宋_GB2312" w:hAnsi="仿宋_GB2312" w:eastAsia="仿宋_GB2312" w:cs="仿宋_GB2312"/>
          <w:sz w:val="32"/>
          <w:szCs w:val="32"/>
        </w:rPr>
        <w:t>。</w:t>
      </w:r>
    </w:p>
    <w:p>
      <w:pPr>
        <w:widowControl w:val="0"/>
        <w:jc w:val="center"/>
        <w:rPr>
          <w:rFonts w:ascii="宋体" w:hAnsi="宋体"/>
          <w:b/>
          <w:sz w:val="28"/>
          <w:szCs w:val="28"/>
        </w:rPr>
      </w:pPr>
      <w:r>
        <w:rPr>
          <w:rFonts w:hint="eastAsia" w:ascii="宋体" w:hAnsi="宋体" w:cs="宋体"/>
          <w:b/>
          <w:bCs/>
          <w:sz w:val="28"/>
          <w:szCs w:val="28"/>
        </w:rPr>
        <w:t>表1-1：郑州市中等职业教育公办与民办学校数量一览表</w:t>
      </w:r>
    </w:p>
    <w:tbl>
      <w:tblPr>
        <w:tblStyle w:val="14"/>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1276"/>
        <w:gridCol w:w="1418"/>
        <w:gridCol w:w="1417"/>
        <w:gridCol w:w="1559"/>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8" w:hRule="atLeast"/>
        </w:trPr>
        <w:tc>
          <w:tcPr>
            <w:tcW w:w="992" w:type="dxa"/>
            <w:vMerge w:val="restart"/>
            <w:shd w:val="clear" w:color="auto" w:fill="D9E2F3" w:themeFill="accent5" w:themeFillTint="33"/>
            <w:vAlign w:val="center"/>
          </w:tcPr>
          <w:p>
            <w:pPr>
              <w:widowControl w:val="0"/>
              <w:jc w:val="center"/>
              <w:rPr>
                <w:rFonts w:ascii="黑体" w:hAnsi="黑体" w:eastAsia="黑体"/>
                <w:sz w:val="24"/>
                <w:szCs w:val="24"/>
              </w:rPr>
            </w:pPr>
            <w:r>
              <w:rPr>
                <w:rFonts w:hint="eastAsia" w:ascii="黑体" w:hAnsi="黑体" w:eastAsia="黑体"/>
                <w:sz w:val="24"/>
                <w:szCs w:val="24"/>
              </w:rPr>
              <w:t>年份</w:t>
            </w:r>
          </w:p>
        </w:tc>
        <w:tc>
          <w:tcPr>
            <w:tcW w:w="1276" w:type="dxa"/>
            <w:vMerge w:val="restart"/>
            <w:shd w:val="clear" w:color="auto" w:fill="D9E2F3" w:themeFill="accent5" w:themeFillTint="33"/>
            <w:vAlign w:val="center"/>
          </w:tcPr>
          <w:p>
            <w:pPr>
              <w:widowControl w:val="0"/>
              <w:jc w:val="center"/>
              <w:rPr>
                <w:rFonts w:ascii="黑体" w:hAnsi="黑体" w:eastAsia="黑体"/>
                <w:sz w:val="24"/>
                <w:szCs w:val="24"/>
              </w:rPr>
            </w:pPr>
            <w:r>
              <w:rPr>
                <w:rFonts w:hint="eastAsia" w:ascii="黑体" w:hAnsi="黑体" w:eastAsia="黑体"/>
                <w:sz w:val="24"/>
                <w:szCs w:val="24"/>
              </w:rPr>
              <w:t>学校总数（所）</w:t>
            </w:r>
          </w:p>
        </w:tc>
        <w:tc>
          <w:tcPr>
            <w:tcW w:w="2835" w:type="dxa"/>
            <w:gridSpan w:val="2"/>
            <w:shd w:val="clear" w:color="auto" w:fill="D9E2F3" w:themeFill="accent5" w:themeFillTint="33"/>
            <w:vAlign w:val="center"/>
          </w:tcPr>
          <w:p>
            <w:pPr>
              <w:widowControl w:val="0"/>
              <w:jc w:val="center"/>
              <w:rPr>
                <w:rFonts w:ascii="黑体" w:hAnsi="黑体" w:eastAsia="黑体"/>
                <w:sz w:val="24"/>
                <w:szCs w:val="24"/>
              </w:rPr>
            </w:pPr>
            <w:r>
              <w:rPr>
                <w:rFonts w:hint="eastAsia" w:ascii="黑体" w:hAnsi="黑体" w:eastAsia="黑体"/>
                <w:sz w:val="24"/>
                <w:szCs w:val="24"/>
              </w:rPr>
              <w:t>公办</w:t>
            </w:r>
          </w:p>
        </w:tc>
        <w:tc>
          <w:tcPr>
            <w:tcW w:w="3119" w:type="dxa"/>
            <w:gridSpan w:val="2"/>
            <w:shd w:val="clear" w:color="auto" w:fill="D9E2F3" w:themeFill="accent5" w:themeFillTint="33"/>
            <w:vAlign w:val="center"/>
          </w:tcPr>
          <w:p>
            <w:pPr>
              <w:widowControl w:val="0"/>
              <w:jc w:val="center"/>
              <w:rPr>
                <w:rFonts w:ascii="黑体" w:hAnsi="黑体" w:eastAsia="黑体"/>
                <w:sz w:val="24"/>
                <w:szCs w:val="24"/>
              </w:rPr>
            </w:pPr>
            <w:r>
              <w:rPr>
                <w:rFonts w:hint="eastAsia" w:ascii="黑体" w:hAnsi="黑体" w:eastAsia="黑体"/>
                <w:sz w:val="24"/>
                <w:szCs w:val="24"/>
              </w:rPr>
              <w:t>民办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992" w:type="dxa"/>
            <w:vMerge w:val="continue"/>
            <w:shd w:val="clear" w:color="auto" w:fill="D9E2F3" w:themeFill="accent5" w:themeFillTint="33"/>
            <w:vAlign w:val="center"/>
          </w:tcPr>
          <w:p>
            <w:pPr>
              <w:widowControl w:val="0"/>
              <w:jc w:val="center"/>
              <w:rPr>
                <w:rFonts w:ascii="黑体" w:hAnsi="黑体" w:eastAsia="黑体"/>
                <w:sz w:val="24"/>
                <w:szCs w:val="24"/>
              </w:rPr>
            </w:pPr>
          </w:p>
        </w:tc>
        <w:tc>
          <w:tcPr>
            <w:tcW w:w="1276" w:type="dxa"/>
            <w:vMerge w:val="continue"/>
            <w:shd w:val="clear" w:color="auto" w:fill="D9E2F3" w:themeFill="accent5" w:themeFillTint="33"/>
            <w:vAlign w:val="center"/>
          </w:tcPr>
          <w:p>
            <w:pPr>
              <w:widowControl w:val="0"/>
              <w:jc w:val="center"/>
              <w:rPr>
                <w:rFonts w:ascii="黑体" w:hAnsi="黑体" w:eastAsia="黑体"/>
                <w:sz w:val="24"/>
                <w:szCs w:val="24"/>
              </w:rPr>
            </w:pPr>
          </w:p>
        </w:tc>
        <w:tc>
          <w:tcPr>
            <w:tcW w:w="1418" w:type="dxa"/>
            <w:shd w:val="clear" w:color="auto" w:fill="D9E2F3" w:themeFill="accent5" w:themeFillTint="33"/>
            <w:vAlign w:val="center"/>
          </w:tcPr>
          <w:p>
            <w:pPr>
              <w:widowControl w:val="0"/>
              <w:jc w:val="center"/>
              <w:rPr>
                <w:rFonts w:ascii="黑体" w:hAnsi="黑体" w:eastAsia="黑体"/>
                <w:sz w:val="24"/>
                <w:szCs w:val="24"/>
              </w:rPr>
            </w:pPr>
            <w:r>
              <w:rPr>
                <w:rFonts w:hint="eastAsia" w:ascii="黑体" w:hAnsi="黑体" w:eastAsia="黑体"/>
                <w:sz w:val="24"/>
                <w:szCs w:val="24"/>
              </w:rPr>
              <w:t>学校数量</w:t>
            </w:r>
          </w:p>
        </w:tc>
        <w:tc>
          <w:tcPr>
            <w:tcW w:w="1417" w:type="dxa"/>
            <w:shd w:val="clear" w:color="auto" w:fill="D9E2F3" w:themeFill="accent5" w:themeFillTint="33"/>
            <w:vAlign w:val="center"/>
          </w:tcPr>
          <w:p>
            <w:pPr>
              <w:widowControl w:val="0"/>
              <w:jc w:val="center"/>
              <w:rPr>
                <w:rFonts w:ascii="黑体" w:hAnsi="黑体" w:eastAsia="黑体"/>
                <w:sz w:val="24"/>
                <w:szCs w:val="24"/>
              </w:rPr>
            </w:pPr>
            <w:r>
              <w:rPr>
                <w:rFonts w:hint="eastAsia" w:ascii="黑体" w:hAnsi="黑体" w:eastAsia="黑体"/>
                <w:sz w:val="24"/>
                <w:szCs w:val="24"/>
              </w:rPr>
              <w:t>增幅</w:t>
            </w:r>
          </w:p>
        </w:tc>
        <w:tc>
          <w:tcPr>
            <w:tcW w:w="1559" w:type="dxa"/>
            <w:shd w:val="clear" w:color="auto" w:fill="D9E2F3" w:themeFill="accent5" w:themeFillTint="33"/>
            <w:vAlign w:val="center"/>
          </w:tcPr>
          <w:p>
            <w:pPr>
              <w:widowControl w:val="0"/>
              <w:jc w:val="center"/>
              <w:rPr>
                <w:rFonts w:ascii="黑体" w:hAnsi="黑体" w:eastAsia="黑体"/>
                <w:sz w:val="24"/>
                <w:szCs w:val="24"/>
              </w:rPr>
            </w:pPr>
            <w:r>
              <w:rPr>
                <w:rFonts w:hint="eastAsia" w:ascii="黑体" w:hAnsi="黑体" w:eastAsia="黑体"/>
                <w:sz w:val="24"/>
                <w:szCs w:val="24"/>
              </w:rPr>
              <w:t>学校数量</w:t>
            </w:r>
          </w:p>
        </w:tc>
        <w:tc>
          <w:tcPr>
            <w:tcW w:w="1560" w:type="dxa"/>
            <w:shd w:val="clear" w:color="auto" w:fill="D9E2F3" w:themeFill="accent5" w:themeFillTint="33"/>
            <w:vAlign w:val="center"/>
          </w:tcPr>
          <w:p>
            <w:pPr>
              <w:widowControl w:val="0"/>
              <w:jc w:val="center"/>
              <w:rPr>
                <w:rFonts w:ascii="黑体" w:hAnsi="黑体" w:eastAsia="黑体"/>
                <w:sz w:val="24"/>
                <w:szCs w:val="24"/>
              </w:rPr>
            </w:pPr>
            <w:r>
              <w:rPr>
                <w:rFonts w:hint="eastAsia" w:ascii="黑体" w:hAnsi="黑体" w:eastAsia="黑体"/>
                <w:sz w:val="24"/>
                <w:szCs w:val="24"/>
              </w:rPr>
              <w:t>增幅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992" w:type="dxa"/>
            <w:shd w:val="clear" w:color="auto" w:fill="D9E2F3" w:themeFill="accent5" w:themeFillTint="33"/>
            <w:vAlign w:val="center"/>
          </w:tcPr>
          <w:p>
            <w:pPr>
              <w:widowControl w:val="0"/>
              <w:jc w:val="center"/>
              <w:rPr>
                <w:rFonts w:ascii="黑体" w:hAnsi="黑体" w:eastAsia="黑体"/>
                <w:sz w:val="24"/>
                <w:szCs w:val="24"/>
              </w:rPr>
            </w:pPr>
            <w:r>
              <w:rPr>
                <w:rFonts w:hint="eastAsia" w:ascii="黑体" w:hAnsi="黑体" w:eastAsia="黑体"/>
                <w:sz w:val="24"/>
                <w:szCs w:val="24"/>
              </w:rPr>
              <w:t>2019</w:t>
            </w:r>
          </w:p>
        </w:tc>
        <w:tc>
          <w:tcPr>
            <w:tcW w:w="1276" w:type="dxa"/>
            <w:shd w:val="clear" w:color="auto" w:fill="C5E0B3" w:themeFill="accent6" w:themeFillTint="66"/>
            <w:vAlign w:val="center"/>
          </w:tcPr>
          <w:p>
            <w:pPr>
              <w:widowControl w:val="0"/>
              <w:jc w:val="center"/>
              <w:rPr>
                <w:sz w:val="24"/>
                <w:szCs w:val="24"/>
              </w:rPr>
            </w:pPr>
            <w:r>
              <w:rPr>
                <w:rFonts w:hint="eastAsia"/>
                <w:sz w:val="24"/>
                <w:szCs w:val="24"/>
              </w:rPr>
              <w:t>58</w:t>
            </w:r>
          </w:p>
        </w:tc>
        <w:tc>
          <w:tcPr>
            <w:tcW w:w="1418" w:type="dxa"/>
            <w:shd w:val="clear" w:color="auto" w:fill="C5E0B3" w:themeFill="accent6" w:themeFillTint="66"/>
            <w:vAlign w:val="center"/>
          </w:tcPr>
          <w:p>
            <w:pPr>
              <w:widowControl w:val="0"/>
              <w:jc w:val="center"/>
              <w:rPr>
                <w:sz w:val="24"/>
                <w:szCs w:val="24"/>
              </w:rPr>
            </w:pPr>
            <w:r>
              <w:rPr>
                <w:rFonts w:hint="eastAsia"/>
                <w:sz w:val="24"/>
                <w:szCs w:val="24"/>
              </w:rPr>
              <w:t>18</w:t>
            </w:r>
          </w:p>
        </w:tc>
        <w:tc>
          <w:tcPr>
            <w:tcW w:w="1417" w:type="dxa"/>
            <w:shd w:val="clear" w:color="auto" w:fill="C5E0B3" w:themeFill="accent6" w:themeFillTint="66"/>
            <w:vAlign w:val="center"/>
          </w:tcPr>
          <w:p>
            <w:pPr>
              <w:widowControl w:val="0"/>
              <w:jc w:val="center"/>
              <w:rPr>
                <w:sz w:val="24"/>
                <w:szCs w:val="24"/>
              </w:rPr>
            </w:pPr>
            <w:r>
              <w:rPr>
                <w:rFonts w:hint="eastAsia"/>
                <w:sz w:val="24"/>
                <w:szCs w:val="24"/>
              </w:rPr>
              <w:t>0</w:t>
            </w:r>
          </w:p>
        </w:tc>
        <w:tc>
          <w:tcPr>
            <w:tcW w:w="1559" w:type="dxa"/>
            <w:shd w:val="clear" w:color="auto" w:fill="C5E0B3" w:themeFill="accent6" w:themeFillTint="66"/>
            <w:vAlign w:val="center"/>
          </w:tcPr>
          <w:p>
            <w:pPr>
              <w:widowControl w:val="0"/>
              <w:jc w:val="center"/>
              <w:rPr>
                <w:sz w:val="24"/>
                <w:szCs w:val="24"/>
              </w:rPr>
            </w:pPr>
            <w:r>
              <w:rPr>
                <w:rFonts w:hint="eastAsia"/>
                <w:sz w:val="24"/>
                <w:szCs w:val="24"/>
              </w:rPr>
              <w:t>40</w:t>
            </w:r>
          </w:p>
        </w:tc>
        <w:tc>
          <w:tcPr>
            <w:tcW w:w="1560" w:type="dxa"/>
            <w:shd w:val="clear" w:color="auto" w:fill="C5E0B3" w:themeFill="accent6" w:themeFillTint="66"/>
            <w:vAlign w:val="center"/>
          </w:tcPr>
          <w:p>
            <w:pPr>
              <w:widowControl w:val="0"/>
              <w:jc w:val="center"/>
              <w:rPr>
                <w:sz w:val="24"/>
                <w:szCs w:val="24"/>
              </w:rPr>
            </w:pPr>
            <w:r>
              <w:rPr>
                <w:rFonts w:hint="eastAsia"/>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992" w:type="dxa"/>
            <w:shd w:val="clear" w:color="auto" w:fill="D9E2F3" w:themeFill="accent5" w:themeFillTint="33"/>
            <w:vAlign w:val="center"/>
          </w:tcPr>
          <w:p>
            <w:pPr>
              <w:widowControl w:val="0"/>
              <w:jc w:val="center"/>
              <w:rPr>
                <w:rFonts w:ascii="黑体" w:hAnsi="黑体" w:eastAsia="黑体"/>
                <w:sz w:val="24"/>
                <w:szCs w:val="24"/>
              </w:rPr>
            </w:pPr>
            <w:r>
              <w:rPr>
                <w:rFonts w:hint="eastAsia" w:ascii="黑体" w:hAnsi="黑体" w:eastAsia="黑体"/>
                <w:sz w:val="24"/>
                <w:szCs w:val="24"/>
              </w:rPr>
              <w:t>2020</w:t>
            </w:r>
          </w:p>
        </w:tc>
        <w:tc>
          <w:tcPr>
            <w:tcW w:w="1276" w:type="dxa"/>
            <w:shd w:val="clear" w:color="auto" w:fill="C5E0B3" w:themeFill="accent6" w:themeFillTint="66"/>
            <w:vAlign w:val="center"/>
          </w:tcPr>
          <w:p>
            <w:pPr>
              <w:widowControl w:val="0"/>
              <w:jc w:val="center"/>
              <w:rPr>
                <w:sz w:val="24"/>
                <w:szCs w:val="24"/>
              </w:rPr>
            </w:pPr>
            <w:r>
              <w:rPr>
                <w:rFonts w:hint="eastAsia"/>
                <w:sz w:val="24"/>
                <w:szCs w:val="24"/>
              </w:rPr>
              <w:t>57</w:t>
            </w:r>
          </w:p>
        </w:tc>
        <w:tc>
          <w:tcPr>
            <w:tcW w:w="1418" w:type="dxa"/>
            <w:shd w:val="clear" w:color="auto" w:fill="C5E0B3" w:themeFill="accent6" w:themeFillTint="66"/>
            <w:vAlign w:val="center"/>
          </w:tcPr>
          <w:p>
            <w:pPr>
              <w:widowControl w:val="0"/>
              <w:jc w:val="center"/>
              <w:rPr>
                <w:sz w:val="24"/>
                <w:szCs w:val="24"/>
              </w:rPr>
            </w:pPr>
            <w:r>
              <w:rPr>
                <w:rFonts w:hint="eastAsia"/>
                <w:sz w:val="24"/>
                <w:szCs w:val="24"/>
              </w:rPr>
              <w:t>19</w:t>
            </w:r>
          </w:p>
        </w:tc>
        <w:tc>
          <w:tcPr>
            <w:tcW w:w="1417" w:type="dxa"/>
            <w:shd w:val="clear" w:color="auto" w:fill="C5E0B3" w:themeFill="accent6" w:themeFillTint="66"/>
            <w:vAlign w:val="center"/>
          </w:tcPr>
          <w:p>
            <w:pPr>
              <w:widowControl w:val="0"/>
              <w:jc w:val="center"/>
              <w:rPr>
                <w:sz w:val="24"/>
                <w:szCs w:val="24"/>
              </w:rPr>
            </w:pPr>
            <w:r>
              <w:rPr>
                <w:rFonts w:hint="eastAsia" w:asciiTheme="minorEastAsia" w:hAnsiTheme="minorEastAsia" w:eastAsiaTheme="minorEastAsia" w:cstheme="minorEastAsia"/>
                <w:sz w:val="24"/>
                <w:szCs w:val="24"/>
              </w:rPr>
              <w:t>5.5%</w:t>
            </w:r>
          </w:p>
        </w:tc>
        <w:tc>
          <w:tcPr>
            <w:tcW w:w="1559" w:type="dxa"/>
            <w:shd w:val="clear" w:color="auto" w:fill="C5E0B3" w:themeFill="accent6" w:themeFillTint="66"/>
            <w:vAlign w:val="center"/>
          </w:tcPr>
          <w:p>
            <w:pPr>
              <w:widowControl w:val="0"/>
              <w:jc w:val="center"/>
              <w:rPr>
                <w:sz w:val="24"/>
                <w:szCs w:val="24"/>
              </w:rPr>
            </w:pPr>
            <w:r>
              <w:rPr>
                <w:rFonts w:hint="eastAsia"/>
                <w:sz w:val="24"/>
                <w:szCs w:val="24"/>
              </w:rPr>
              <w:t>38</w:t>
            </w:r>
          </w:p>
        </w:tc>
        <w:tc>
          <w:tcPr>
            <w:tcW w:w="1560" w:type="dxa"/>
            <w:shd w:val="clear" w:color="auto" w:fill="C5E0B3" w:themeFill="accent6" w:themeFillTint="66"/>
            <w:vAlign w:val="center"/>
          </w:tcPr>
          <w:p>
            <w:pPr>
              <w:widowControl w:val="0"/>
              <w:jc w:val="center"/>
              <w:rPr>
                <w:sz w:val="24"/>
                <w:szCs w:val="24"/>
              </w:rPr>
            </w:pPr>
            <w:r>
              <w:rPr>
                <w:rFonts w:hint="eastAsia" w:asciiTheme="minorEastAsia" w:hAnsiTheme="minorEastAsia" w:eastAsiaTheme="minorEastAsia" w:cstheme="minorEastAsia"/>
                <w:sz w:val="24"/>
                <w:szCs w:val="24"/>
              </w:rPr>
              <w:t>-5.0%</w:t>
            </w:r>
          </w:p>
        </w:tc>
      </w:tr>
    </w:tbl>
    <w:p>
      <w:pPr>
        <w:widowControl w:val="0"/>
        <w:ind w:firstLine="560" w:firstLineChars="200"/>
        <w:rPr>
          <w:rFonts w:ascii="楷体" w:hAnsi="楷体" w:eastAsia="楷体" w:cs="仿宋_GB2312"/>
          <w:sz w:val="28"/>
          <w:szCs w:val="28"/>
        </w:rPr>
      </w:pPr>
      <w:r>
        <w:rPr>
          <w:rFonts w:hint="eastAsia" w:ascii="楷体" w:hAnsi="楷体" w:eastAsia="楷体" w:cs="仿宋_GB2312"/>
          <w:sz w:val="28"/>
          <w:szCs w:val="28"/>
        </w:rPr>
        <w:t>注：表中统计数据不含省属学校、技工学校</w:t>
      </w:r>
    </w:p>
    <w:p>
      <w:pPr>
        <w:widowControl w:val="0"/>
        <w:jc w:val="center"/>
        <w:rPr>
          <w:rFonts w:ascii="宋体" w:hAnsi="宋体"/>
          <w:b/>
          <w:sz w:val="28"/>
          <w:szCs w:val="28"/>
        </w:rPr>
      </w:pPr>
      <w:r>
        <w:rPr>
          <w:rFonts w:hint="eastAsia" w:ascii="宋体" w:hAnsi="宋体" w:cs="宋体"/>
          <w:b/>
          <w:bCs/>
          <w:sz w:val="28"/>
          <w:szCs w:val="28"/>
        </w:rPr>
        <w:t>表1-2：郑州市中等职业教育创优创特学校一览表</w:t>
      </w:r>
    </w:p>
    <w:tbl>
      <w:tblPr>
        <w:tblStyle w:val="14"/>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3118"/>
        <w:gridCol w:w="4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851" w:type="dxa"/>
            <w:shd w:val="clear" w:color="auto" w:fill="D9E2F3" w:themeFill="accent5" w:themeFillTint="33"/>
            <w:vAlign w:val="center"/>
          </w:tcPr>
          <w:p>
            <w:pPr>
              <w:widowControl w:val="0"/>
              <w:jc w:val="center"/>
              <w:rPr>
                <w:rFonts w:ascii="黑体" w:hAnsi="黑体" w:eastAsia="黑体"/>
                <w:sz w:val="24"/>
                <w:szCs w:val="24"/>
              </w:rPr>
            </w:pPr>
            <w:r>
              <w:rPr>
                <w:rFonts w:hint="eastAsia" w:ascii="黑体" w:hAnsi="黑体" w:eastAsia="黑体"/>
                <w:sz w:val="24"/>
                <w:szCs w:val="24"/>
              </w:rPr>
              <w:t>序号</w:t>
            </w:r>
          </w:p>
        </w:tc>
        <w:tc>
          <w:tcPr>
            <w:tcW w:w="3118" w:type="dxa"/>
            <w:shd w:val="clear" w:color="auto" w:fill="D9E2F3" w:themeFill="accent5" w:themeFillTint="33"/>
            <w:vAlign w:val="center"/>
          </w:tcPr>
          <w:p>
            <w:pPr>
              <w:widowControl w:val="0"/>
              <w:jc w:val="center"/>
              <w:rPr>
                <w:rFonts w:ascii="黑体" w:hAnsi="黑体" w:eastAsia="黑体"/>
                <w:sz w:val="24"/>
                <w:szCs w:val="24"/>
              </w:rPr>
            </w:pPr>
            <w:r>
              <w:rPr>
                <w:rFonts w:hint="eastAsia" w:ascii="黑体" w:hAnsi="黑体" w:eastAsia="黑体"/>
                <w:sz w:val="24"/>
                <w:szCs w:val="24"/>
              </w:rPr>
              <w:t>类 别</w:t>
            </w:r>
          </w:p>
        </w:tc>
        <w:tc>
          <w:tcPr>
            <w:tcW w:w="4253" w:type="dxa"/>
            <w:shd w:val="clear" w:color="auto" w:fill="D9E2F3" w:themeFill="accent5" w:themeFillTint="33"/>
            <w:vAlign w:val="center"/>
          </w:tcPr>
          <w:p>
            <w:pPr>
              <w:widowControl w:val="0"/>
              <w:jc w:val="center"/>
              <w:rPr>
                <w:rFonts w:ascii="黑体" w:hAnsi="黑体" w:eastAsia="黑体"/>
                <w:sz w:val="24"/>
                <w:szCs w:val="24"/>
              </w:rPr>
            </w:pPr>
            <w:r>
              <w:rPr>
                <w:rFonts w:hint="eastAsia" w:ascii="黑体" w:hAnsi="黑体" w:eastAsia="黑体"/>
                <w:sz w:val="24"/>
                <w:szCs w:val="24"/>
              </w:rPr>
              <w:t>学校名称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shd w:val="clear" w:color="auto" w:fill="D9E2F3" w:themeFill="accent5" w:themeFillTint="33"/>
            <w:vAlign w:val="center"/>
          </w:tcPr>
          <w:p>
            <w:pPr>
              <w:widowControl w:val="0"/>
              <w:jc w:val="center"/>
              <w:rPr>
                <w:rFonts w:ascii="黑体" w:hAnsi="黑体" w:eastAsia="黑体"/>
                <w:sz w:val="24"/>
                <w:szCs w:val="24"/>
              </w:rPr>
            </w:pPr>
            <w:r>
              <w:rPr>
                <w:rFonts w:hint="eastAsia" w:ascii="黑体" w:hAnsi="黑体" w:eastAsia="黑体"/>
                <w:sz w:val="24"/>
                <w:szCs w:val="24"/>
              </w:rPr>
              <w:t>1</w:t>
            </w:r>
          </w:p>
        </w:tc>
        <w:tc>
          <w:tcPr>
            <w:tcW w:w="3118" w:type="dxa"/>
            <w:shd w:val="clear" w:color="auto" w:fill="C5E0B3" w:themeFill="accent6" w:themeFillTint="66"/>
            <w:vAlign w:val="center"/>
          </w:tcPr>
          <w:p>
            <w:pPr>
              <w:widowControl w:val="0"/>
              <w:jc w:val="center"/>
            </w:pPr>
            <w:r>
              <w:rPr>
                <w:rFonts w:hint="eastAsia"/>
              </w:rPr>
              <w:t>国家中等职业教育改革发展示范学校（3所）</w:t>
            </w:r>
          </w:p>
        </w:tc>
        <w:tc>
          <w:tcPr>
            <w:tcW w:w="4253" w:type="dxa"/>
            <w:shd w:val="clear" w:color="auto" w:fill="C5E0B3" w:themeFill="accent6" w:themeFillTint="66"/>
            <w:vAlign w:val="center"/>
          </w:tcPr>
          <w:p>
            <w:pPr>
              <w:widowControl w:val="0"/>
            </w:pPr>
            <w:r>
              <w:rPr>
                <w:rFonts w:hint="eastAsia"/>
              </w:rPr>
              <w:t>1.新密市职教中心</w:t>
            </w:r>
          </w:p>
          <w:p>
            <w:pPr>
              <w:widowControl w:val="0"/>
            </w:pPr>
            <w:r>
              <w:rPr>
                <w:rFonts w:hint="eastAsia"/>
              </w:rPr>
              <w:t>2.郑州市国防科技学校</w:t>
            </w:r>
          </w:p>
          <w:p>
            <w:pPr>
              <w:widowControl w:val="0"/>
            </w:pPr>
            <w:r>
              <w:rPr>
                <w:rFonts w:hint="eastAsia"/>
              </w:rPr>
              <w:t>3.郑州机电工程学校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shd w:val="clear" w:color="auto" w:fill="D9E2F3" w:themeFill="accent5" w:themeFillTint="33"/>
            <w:vAlign w:val="center"/>
          </w:tcPr>
          <w:p>
            <w:pPr>
              <w:widowControl w:val="0"/>
              <w:jc w:val="center"/>
              <w:rPr>
                <w:rFonts w:ascii="黑体" w:hAnsi="黑体" w:eastAsia="黑体"/>
                <w:sz w:val="24"/>
                <w:szCs w:val="24"/>
              </w:rPr>
            </w:pPr>
            <w:r>
              <w:rPr>
                <w:rFonts w:hint="eastAsia" w:ascii="黑体" w:hAnsi="黑体" w:eastAsia="黑体"/>
                <w:sz w:val="24"/>
                <w:szCs w:val="24"/>
              </w:rPr>
              <w:t>2</w:t>
            </w:r>
          </w:p>
        </w:tc>
        <w:tc>
          <w:tcPr>
            <w:tcW w:w="3118" w:type="dxa"/>
            <w:shd w:val="clear" w:color="auto" w:fill="C5E0B3" w:themeFill="accent6" w:themeFillTint="66"/>
            <w:vAlign w:val="center"/>
          </w:tcPr>
          <w:p>
            <w:pPr>
              <w:widowControl w:val="0"/>
              <w:jc w:val="center"/>
            </w:pPr>
            <w:r>
              <w:rPr>
                <w:rFonts w:hint="eastAsia"/>
              </w:rPr>
              <w:t>河南省职业教育品牌示范学校（5所）</w:t>
            </w:r>
          </w:p>
        </w:tc>
        <w:tc>
          <w:tcPr>
            <w:tcW w:w="4253" w:type="dxa"/>
            <w:shd w:val="clear" w:color="auto" w:fill="C5E0B3" w:themeFill="accent6" w:themeFillTint="66"/>
            <w:vAlign w:val="center"/>
          </w:tcPr>
          <w:p>
            <w:pPr>
              <w:widowControl w:val="0"/>
            </w:pPr>
            <w:r>
              <w:rPr>
                <w:rFonts w:hint="eastAsia"/>
              </w:rPr>
              <w:t>1.新密市职教中心</w:t>
            </w:r>
          </w:p>
          <w:p>
            <w:pPr>
              <w:widowControl w:val="0"/>
            </w:pPr>
            <w:r>
              <w:rPr>
                <w:rFonts w:hint="eastAsia"/>
              </w:rPr>
              <w:t>2.郑州市国防科技学校</w:t>
            </w:r>
          </w:p>
          <w:p>
            <w:pPr>
              <w:widowControl w:val="0"/>
            </w:pPr>
            <w:r>
              <w:rPr>
                <w:rFonts w:hint="eastAsia"/>
              </w:rPr>
              <w:t>3.郑州机电工程学校</w:t>
            </w:r>
          </w:p>
          <w:p>
            <w:pPr>
              <w:widowControl w:val="0"/>
            </w:pPr>
            <w:r>
              <w:rPr>
                <w:rFonts w:hint="eastAsia"/>
              </w:rPr>
              <w:t>4.郑州绿业信息中等专业学校</w:t>
            </w:r>
          </w:p>
          <w:p>
            <w:pPr>
              <w:widowControl w:val="0"/>
            </w:pPr>
            <w:r>
              <w:rPr>
                <w:rFonts w:hint="eastAsia"/>
              </w:rPr>
              <w:t>5.郑州商业中等专业学校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shd w:val="clear" w:color="auto" w:fill="D9E2F3" w:themeFill="accent5" w:themeFillTint="33"/>
            <w:vAlign w:val="center"/>
          </w:tcPr>
          <w:p>
            <w:pPr>
              <w:widowControl w:val="0"/>
              <w:jc w:val="center"/>
              <w:rPr>
                <w:rFonts w:ascii="黑体" w:hAnsi="黑体" w:eastAsia="黑体"/>
                <w:sz w:val="24"/>
                <w:szCs w:val="24"/>
              </w:rPr>
            </w:pPr>
            <w:r>
              <w:rPr>
                <w:rFonts w:hint="eastAsia" w:ascii="黑体" w:hAnsi="黑体" w:eastAsia="黑体"/>
                <w:sz w:val="24"/>
                <w:szCs w:val="24"/>
              </w:rPr>
              <w:t>3</w:t>
            </w:r>
          </w:p>
        </w:tc>
        <w:tc>
          <w:tcPr>
            <w:tcW w:w="3118" w:type="dxa"/>
            <w:shd w:val="clear" w:color="auto" w:fill="C5E0B3" w:themeFill="accent6" w:themeFillTint="66"/>
            <w:vAlign w:val="center"/>
          </w:tcPr>
          <w:p>
            <w:pPr>
              <w:widowControl w:val="0"/>
              <w:jc w:val="center"/>
            </w:pPr>
            <w:r>
              <w:rPr>
                <w:rFonts w:hint="eastAsia"/>
              </w:rPr>
              <w:t>河南省职业教育品牌特色学校（13所）</w:t>
            </w:r>
          </w:p>
        </w:tc>
        <w:tc>
          <w:tcPr>
            <w:tcW w:w="4253" w:type="dxa"/>
            <w:shd w:val="clear" w:color="auto" w:fill="C5E0B3" w:themeFill="accent6" w:themeFillTint="66"/>
            <w:vAlign w:val="center"/>
          </w:tcPr>
          <w:p>
            <w:pPr>
              <w:widowControl w:val="0"/>
            </w:pPr>
            <w:r>
              <w:rPr>
                <w:rFonts w:hint="eastAsia"/>
              </w:rPr>
              <w:t>1.郑州艺术幼儿师范学校</w:t>
            </w:r>
          </w:p>
          <w:p>
            <w:pPr>
              <w:widowControl w:val="0"/>
            </w:pPr>
            <w:r>
              <w:rPr>
                <w:rFonts w:hint="eastAsia"/>
              </w:rPr>
              <w:t>2.郑州市电子信息工程学校</w:t>
            </w:r>
          </w:p>
          <w:p>
            <w:pPr>
              <w:widowControl w:val="0"/>
            </w:pPr>
            <w:r>
              <w:rPr>
                <w:rFonts w:hint="eastAsia"/>
              </w:rPr>
              <w:t>3.郑州市财贸学校</w:t>
            </w:r>
          </w:p>
          <w:p>
            <w:pPr>
              <w:widowControl w:val="0"/>
            </w:pPr>
            <w:r>
              <w:rPr>
                <w:rFonts w:hint="eastAsia"/>
              </w:rPr>
              <w:t>4.郑州市科技工业学校</w:t>
            </w:r>
          </w:p>
          <w:p>
            <w:pPr>
              <w:widowControl w:val="0"/>
            </w:pPr>
            <w:r>
              <w:rPr>
                <w:rFonts w:hint="eastAsia"/>
              </w:rPr>
              <w:t>5.登封市中等专业学校</w:t>
            </w:r>
          </w:p>
          <w:p>
            <w:pPr>
              <w:widowControl w:val="0"/>
            </w:pPr>
            <w:r>
              <w:rPr>
                <w:rFonts w:hint="eastAsia"/>
              </w:rPr>
              <w:t>6.郑州电子信息中等专业学校</w:t>
            </w:r>
          </w:p>
          <w:p>
            <w:pPr>
              <w:widowControl w:val="0"/>
            </w:pPr>
            <w:r>
              <w:rPr>
                <w:rFonts w:hint="eastAsia"/>
              </w:rPr>
              <w:t>7.郑州卫生健康职业学院中专部</w:t>
            </w:r>
          </w:p>
          <w:p>
            <w:pPr>
              <w:widowControl w:val="0"/>
            </w:pPr>
            <w:r>
              <w:rPr>
                <w:rFonts w:hint="eastAsia"/>
              </w:rPr>
              <w:t>8.郑州城轨交通中等专业学校</w:t>
            </w:r>
          </w:p>
          <w:p>
            <w:pPr>
              <w:widowControl w:val="0"/>
            </w:pPr>
            <w:r>
              <w:rPr>
                <w:rFonts w:hint="eastAsia"/>
              </w:rPr>
              <w:t>9.郑州外资企业管理中等专业学校</w:t>
            </w:r>
          </w:p>
          <w:p>
            <w:pPr>
              <w:widowControl w:val="0"/>
            </w:pPr>
            <w:r>
              <w:rPr>
                <w:rFonts w:hint="eastAsia"/>
              </w:rPr>
              <w:t>10.郑州市金融学校</w:t>
            </w:r>
          </w:p>
          <w:p>
            <w:pPr>
              <w:widowControl w:val="0"/>
            </w:pPr>
            <w:r>
              <w:rPr>
                <w:rFonts w:hint="eastAsia"/>
              </w:rPr>
              <w:t>11.新郑市中等职业学校</w:t>
            </w:r>
          </w:p>
          <w:p>
            <w:pPr>
              <w:widowControl w:val="0"/>
            </w:pPr>
            <w:r>
              <w:rPr>
                <w:rFonts w:hint="eastAsia"/>
              </w:rPr>
              <w:t>12.郑州市经济贸易学校</w:t>
            </w:r>
          </w:p>
          <w:p>
            <w:pPr>
              <w:widowControl w:val="0"/>
            </w:pPr>
            <w:r>
              <w:rPr>
                <w:rFonts w:hint="eastAsia"/>
              </w:rPr>
              <w:t>13.登封少林弘武中等专业学校</w:t>
            </w:r>
          </w:p>
        </w:tc>
      </w:tr>
    </w:tbl>
    <w:p>
      <w:pPr>
        <w:widowControl w:val="0"/>
        <w:ind w:firstLine="560" w:firstLineChars="200"/>
        <w:rPr>
          <w:rFonts w:ascii="楷体" w:hAnsi="楷体" w:eastAsia="楷体" w:cs="仿宋_GB2312"/>
          <w:sz w:val="28"/>
          <w:szCs w:val="28"/>
        </w:rPr>
      </w:pPr>
      <w:r>
        <w:rPr>
          <w:rFonts w:hint="eastAsia" w:ascii="楷体" w:hAnsi="楷体" w:eastAsia="楷体" w:cs="仿宋_GB2312"/>
          <w:sz w:val="28"/>
          <w:szCs w:val="28"/>
        </w:rPr>
        <w:t>注：表中统计数据不含省属学校、技工学校</w:t>
      </w:r>
    </w:p>
    <w:p>
      <w:pPr>
        <w:ind w:firstLine="640" w:firstLineChars="200"/>
        <w:rPr>
          <w:rFonts w:ascii="仿宋" w:hAnsi="仿宋" w:eastAsia="仿宋" w:cs="仿宋"/>
          <w:color w:val="000000"/>
          <w:spacing w:val="7"/>
          <w:sz w:val="32"/>
          <w:szCs w:val="32"/>
          <w:shd w:val="clear" w:color="auto" w:fill="FFFFFF"/>
        </w:rPr>
      </w:pPr>
      <w:r>
        <w:rPr>
          <w:rFonts w:hint="eastAsia" w:ascii="仿宋_GB2312" w:hAnsi="仿宋_GB2312" w:eastAsia="仿宋_GB2312" w:cs="仿宋_GB2312"/>
          <w:sz w:val="32"/>
          <w:szCs w:val="32"/>
        </w:rPr>
        <w:t>2020年，全市应届初中毕业生13.81万人，省教育厅下达郑州市中等职业教育招生任务为5.8万人，在新冠肺炎疫情造成严重不利的局面下，经过严密组织、不断创新招生工作形式，我市中等职业学校2020年新生注册学籍人数7.6万人，超额完成招生任务的31.03%，全市高中阶段教育招生职普比为50.84：49.16，实现了职普招生规模大体相当的局面。</w:t>
      </w:r>
      <w:r>
        <w:rPr>
          <w:rFonts w:hint="eastAsia" w:ascii="仿宋" w:hAnsi="仿宋" w:eastAsia="仿宋" w:cs="仿宋"/>
          <w:color w:val="000000"/>
          <w:spacing w:val="7"/>
          <w:sz w:val="32"/>
          <w:szCs w:val="32"/>
          <w:shd w:val="clear" w:color="auto" w:fill="FFFFFF"/>
        </w:rPr>
        <w:t>受新冠疫情影响，中职招生无法实施进校园宣传活动，</w:t>
      </w:r>
      <w:r>
        <w:rPr>
          <w:rFonts w:hint="eastAsia" w:ascii="仿宋_GB2312" w:hAnsi="仿宋_GB2312" w:eastAsia="仿宋_GB2312" w:cs="仿宋_GB2312"/>
          <w:sz w:val="32"/>
          <w:szCs w:val="32"/>
        </w:rPr>
        <w:t>为确保高质量完成招生任务，郑州市教育局强化职业教育宣传引导，下发了中等职业学校招生工作意见，</w:t>
      </w:r>
      <w:r>
        <w:rPr>
          <w:rFonts w:hint="eastAsia" w:ascii="仿宋" w:hAnsi="仿宋" w:eastAsia="仿宋" w:cs="仿宋"/>
          <w:color w:val="000000"/>
          <w:spacing w:val="7"/>
          <w:sz w:val="32"/>
          <w:szCs w:val="32"/>
          <w:shd w:val="clear" w:color="auto" w:fill="FFFFFF"/>
        </w:rPr>
        <w:t>各中职学校克服重重困难、创新招生手段，借助新媒体，广泛采用线上咨询与宣传的形式开展招生工作。今年我市中职招生咨询活动也改为线上进行，得到社会好评，取得良好效果。</w:t>
      </w:r>
    </w:p>
    <w:p>
      <w:pPr>
        <w:jc w:val="center"/>
        <w:rPr>
          <w:rFonts w:ascii="宋体" w:hAnsi="宋体" w:cs="宋体"/>
          <w:b/>
          <w:bCs/>
          <w:sz w:val="28"/>
          <w:szCs w:val="28"/>
        </w:rPr>
      </w:pPr>
      <w:r>
        <w:rPr>
          <w:rFonts w:hint="eastAsia" w:ascii="宋体" w:hAnsi="宋体" w:cs="宋体"/>
          <w:b/>
          <w:bCs/>
          <w:sz w:val="28"/>
          <w:szCs w:val="28"/>
        </w:rPr>
        <w:t>表1-3  2020年郑州市中等职业教育办学规模一览表</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1417"/>
        <w:gridCol w:w="1418"/>
        <w:gridCol w:w="1701"/>
        <w:gridCol w:w="1559"/>
        <w:gridCol w:w="1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1101" w:type="dxa"/>
            <w:shd w:val="clear" w:color="auto" w:fill="D9E2F3" w:themeFill="accent5" w:themeFillTint="33"/>
            <w:vAlign w:val="center"/>
          </w:tcPr>
          <w:p>
            <w:pPr>
              <w:widowControl w:val="0"/>
              <w:jc w:val="center"/>
              <w:rPr>
                <w:rFonts w:ascii="黑体" w:hAnsi="黑体" w:eastAsia="黑体"/>
                <w:sz w:val="24"/>
                <w:szCs w:val="24"/>
              </w:rPr>
            </w:pPr>
            <w:r>
              <w:rPr>
                <w:rFonts w:hint="eastAsia" w:ascii="黑体" w:hAnsi="黑体" w:eastAsia="黑体"/>
                <w:sz w:val="24"/>
                <w:szCs w:val="24"/>
              </w:rPr>
              <w:t>年度</w:t>
            </w:r>
          </w:p>
        </w:tc>
        <w:tc>
          <w:tcPr>
            <w:tcW w:w="1417" w:type="dxa"/>
            <w:shd w:val="clear" w:color="auto" w:fill="D9E2F3" w:themeFill="accent5" w:themeFillTint="33"/>
            <w:vAlign w:val="center"/>
          </w:tcPr>
          <w:p>
            <w:pPr>
              <w:widowControl w:val="0"/>
              <w:jc w:val="center"/>
              <w:rPr>
                <w:rFonts w:ascii="黑体" w:hAnsi="黑体" w:eastAsia="黑体"/>
                <w:sz w:val="24"/>
                <w:szCs w:val="24"/>
              </w:rPr>
            </w:pPr>
            <w:r>
              <w:rPr>
                <w:rFonts w:hint="eastAsia" w:ascii="黑体" w:hAnsi="黑体" w:eastAsia="黑体"/>
                <w:sz w:val="24"/>
                <w:szCs w:val="24"/>
              </w:rPr>
              <w:t>学校数量（所）</w:t>
            </w:r>
          </w:p>
        </w:tc>
        <w:tc>
          <w:tcPr>
            <w:tcW w:w="1418" w:type="dxa"/>
            <w:shd w:val="clear" w:color="auto" w:fill="D9E2F3" w:themeFill="accent5" w:themeFillTint="33"/>
            <w:vAlign w:val="center"/>
          </w:tcPr>
          <w:p>
            <w:pPr>
              <w:widowControl w:val="0"/>
              <w:jc w:val="center"/>
              <w:rPr>
                <w:rFonts w:ascii="黑体" w:hAnsi="黑体" w:eastAsia="黑体"/>
                <w:sz w:val="24"/>
                <w:szCs w:val="24"/>
              </w:rPr>
            </w:pPr>
            <w:r>
              <w:rPr>
                <w:rFonts w:hint="eastAsia" w:ascii="黑体" w:hAnsi="黑体" w:eastAsia="黑体"/>
                <w:sz w:val="24"/>
                <w:szCs w:val="24"/>
              </w:rPr>
              <w:t>招生人数</w:t>
            </w:r>
          </w:p>
          <w:p>
            <w:pPr>
              <w:widowControl w:val="0"/>
              <w:jc w:val="center"/>
              <w:rPr>
                <w:rFonts w:ascii="黑体" w:hAnsi="黑体" w:eastAsia="黑体"/>
                <w:sz w:val="24"/>
                <w:szCs w:val="24"/>
              </w:rPr>
            </w:pPr>
            <w:r>
              <w:rPr>
                <w:rFonts w:hint="eastAsia" w:ascii="黑体" w:hAnsi="黑体" w:eastAsia="黑体"/>
                <w:sz w:val="24"/>
                <w:szCs w:val="24"/>
              </w:rPr>
              <w:t>（万人）</w:t>
            </w:r>
          </w:p>
        </w:tc>
        <w:tc>
          <w:tcPr>
            <w:tcW w:w="1701" w:type="dxa"/>
            <w:shd w:val="clear" w:color="auto" w:fill="D9E2F3" w:themeFill="accent5" w:themeFillTint="33"/>
            <w:vAlign w:val="center"/>
          </w:tcPr>
          <w:p>
            <w:pPr>
              <w:widowControl w:val="0"/>
              <w:jc w:val="center"/>
              <w:rPr>
                <w:rFonts w:ascii="黑体" w:hAnsi="黑体" w:eastAsia="黑体"/>
                <w:sz w:val="24"/>
                <w:szCs w:val="24"/>
              </w:rPr>
            </w:pPr>
            <w:r>
              <w:rPr>
                <w:rFonts w:hint="eastAsia" w:ascii="黑体" w:hAnsi="黑体" w:eastAsia="黑体"/>
                <w:sz w:val="24"/>
                <w:szCs w:val="24"/>
              </w:rPr>
              <w:t>在校生人数</w:t>
            </w:r>
          </w:p>
          <w:p>
            <w:pPr>
              <w:widowControl w:val="0"/>
              <w:jc w:val="center"/>
              <w:rPr>
                <w:rFonts w:ascii="黑体" w:hAnsi="黑体" w:eastAsia="黑体"/>
                <w:sz w:val="24"/>
                <w:szCs w:val="24"/>
              </w:rPr>
            </w:pPr>
            <w:r>
              <w:rPr>
                <w:rFonts w:hint="eastAsia" w:ascii="黑体" w:hAnsi="黑体" w:eastAsia="黑体"/>
                <w:sz w:val="24"/>
                <w:szCs w:val="24"/>
              </w:rPr>
              <w:t>（万人）</w:t>
            </w:r>
          </w:p>
        </w:tc>
        <w:tc>
          <w:tcPr>
            <w:tcW w:w="1559" w:type="dxa"/>
            <w:shd w:val="clear" w:color="auto" w:fill="D9E2F3" w:themeFill="accent5" w:themeFillTint="33"/>
            <w:vAlign w:val="center"/>
          </w:tcPr>
          <w:p>
            <w:pPr>
              <w:widowControl w:val="0"/>
              <w:jc w:val="center"/>
              <w:rPr>
                <w:rFonts w:ascii="黑体" w:hAnsi="黑体" w:eastAsia="黑体"/>
                <w:sz w:val="24"/>
                <w:szCs w:val="24"/>
              </w:rPr>
            </w:pPr>
            <w:r>
              <w:rPr>
                <w:rFonts w:hint="eastAsia" w:ascii="黑体" w:hAnsi="黑体" w:eastAsia="黑体"/>
                <w:sz w:val="24"/>
                <w:szCs w:val="24"/>
              </w:rPr>
              <w:t>毕业生人数</w:t>
            </w:r>
          </w:p>
          <w:p>
            <w:pPr>
              <w:widowControl w:val="0"/>
              <w:jc w:val="center"/>
              <w:rPr>
                <w:rFonts w:ascii="黑体" w:hAnsi="黑体" w:eastAsia="黑体"/>
                <w:sz w:val="24"/>
                <w:szCs w:val="24"/>
              </w:rPr>
            </w:pPr>
            <w:r>
              <w:rPr>
                <w:rFonts w:hint="eastAsia" w:ascii="黑体" w:hAnsi="黑体" w:eastAsia="黑体"/>
                <w:sz w:val="24"/>
                <w:szCs w:val="24"/>
              </w:rPr>
              <w:t>（万人）</w:t>
            </w:r>
          </w:p>
        </w:tc>
        <w:tc>
          <w:tcPr>
            <w:tcW w:w="1660" w:type="dxa"/>
            <w:shd w:val="clear" w:color="auto" w:fill="D9E2F3" w:themeFill="accent5" w:themeFillTint="33"/>
            <w:vAlign w:val="center"/>
          </w:tcPr>
          <w:p>
            <w:pPr>
              <w:widowControl w:val="0"/>
              <w:jc w:val="center"/>
              <w:rPr>
                <w:rFonts w:ascii="黑体" w:hAnsi="黑体" w:eastAsia="黑体"/>
                <w:sz w:val="24"/>
                <w:szCs w:val="24"/>
              </w:rPr>
            </w:pPr>
            <w:r>
              <w:rPr>
                <w:rFonts w:hint="eastAsia" w:ascii="黑体" w:hAnsi="黑体" w:eastAsia="黑体"/>
                <w:sz w:val="24"/>
                <w:szCs w:val="24"/>
              </w:rPr>
              <w:t>职普比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1101" w:type="dxa"/>
            <w:shd w:val="clear" w:color="auto" w:fill="D9E2F3" w:themeFill="accent5" w:themeFillTint="33"/>
            <w:vAlign w:val="center"/>
          </w:tcPr>
          <w:p>
            <w:pPr>
              <w:widowControl w:val="0"/>
              <w:jc w:val="center"/>
              <w:rPr>
                <w:rFonts w:ascii="黑体" w:hAnsi="黑体" w:eastAsia="黑体"/>
                <w:sz w:val="24"/>
                <w:szCs w:val="24"/>
              </w:rPr>
            </w:pPr>
            <w:r>
              <w:rPr>
                <w:rFonts w:hint="eastAsia" w:ascii="黑体" w:hAnsi="黑体" w:eastAsia="黑体"/>
                <w:sz w:val="24"/>
                <w:szCs w:val="24"/>
              </w:rPr>
              <w:t>2019</w:t>
            </w:r>
          </w:p>
        </w:tc>
        <w:tc>
          <w:tcPr>
            <w:tcW w:w="1417" w:type="dxa"/>
            <w:shd w:val="clear" w:color="auto" w:fill="C5E0B3" w:themeFill="accent6" w:themeFillTint="66"/>
            <w:vAlign w:val="center"/>
          </w:tcPr>
          <w:p>
            <w:pPr>
              <w:widowControl w:val="0"/>
              <w:jc w:val="center"/>
              <w:rPr>
                <w:sz w:val="24"/>
                <w:szCs w:val="24"/>
              </w:rPr>
            </w:pPr>
            <w:r>
              <w:rPr>
                <w:rFonts w:hint="eastAsia"/>
                <w:sz w:val="24"/>
                <w:szCs w:val="24"/>
              </w:rPr>
              <w:t>58</w:t>
            </w:r>
          </w:p>
        </w:tc>
        <w:tc>
          <w:tcPr>
            <w:tcW w:w="1418" w:type="dxa"/>
            <w:shd w:val="clear" w:color="auto" w:fill="C5E0B3" w:themeFill="accent6" w:themeFillTint="66"/>
            <w:vAlign w:val="center"/>
          </w:tcPr>
          <w:p>
            <w:pPr>
              <w:widowControl w:val="0"/>
              <w:jc w:val="center"/>
              <w:rPr>
                <w:sz w:val="24"/>
                <w:szCs w:val="24"/>
              </w:rPr>
            </w:pPr>
            <w:r>
              <w:rPr>
                <w:rFonts w:hint="eastAsia"/>
                <w:sz w:val="24"/>
                <w:szCs w:val="24"/>
              </w:rPr>
              <w:t>8.1</w:t>
            </w:r>
          </w:p>
        </w:tc>
        <w:tc>
          <w:tcPr>
            <w:tcW w:w="1701" w:type="dxa"/>
            <w:shd w:val="clear" w:color="auto" w:fill="C5E0B3" w:themeFill="accent6" w:themeFillTint="66"/>
            <w:vAlign w:val="center"/>
          </w:tcPr>
          <w:p>
            <w:pPr>
              <w:widowControl w:val="0"/>
              <w:jc w:val="center"/>
              <w:rPr>
                <w:sz w:val="24"/>
                <w:szCs w:val="24"/>
              </w:rPr>
            </w:pPr>
            <w:r>
              <w:rPr>
                <w:rFonts w:hint="eastAsia"/>
                <w:sz w:val="24"/>
                <w:szCs w:val="24"/>
              </w:rPr>
              <w:t>20.1</w:t>
            </w:r>
          </w:p>
        </w:tc>
        <w:tc>
          <w:tcPr>
            <w:tcW w:w="1559" w:type="dxa"/>
            <w:shd w:val="clear" w:color="auto" w:fill="C5E0B3" w:themeFill="accent6" w:themeFillTint="66"/>
            <w:vAlign w:val="center"/>
          </w:tcPr>
          <w:p>
            <w:pPr>
              <w:widowControl w:val="0"/>
              <w:jc w:val="center"/>
              <w:rPr>
                <w:sz w:val="24"/>
                <w:szCs w:val="24"/>
              </w:rPr>
            </w:pPr>
            <w:r>
              <w:rPr>
                <w:rFonts w:hint="eastAsia"/>
                <w:sz w:val="24"/>
                <w:szCs w:val="24"/>
              </w:rPr>
              <w:t>5.1</w:t>
            </w:r>
          </w:p>
        </w:tc>
        <w:tc>
          <w:tcPr>
            <w:tcW w:w="1660" w:type="dxa"/>
            <w:shd w:val="clear" w:color="auto" w:fill="C5E0B3" w:themeFill="accent6" w:themeFillTint="66"/>
            <w:vAlign w:val="center"/>
          </w:tcPr>
          <w:p>
            <w:pPr>
              <w:widowControl w:val="0"/>
              <w:jc w:val="center"/>
              <w:rPr>
                <w:sz w:val="24"/>
                <w:szCs w:val="24"/>
              </w:rPr>
            </w:pPr>
            <w:r>
              <w:rPr>
                <w:sz w:val="24"/>
                <w:szCs w:val="24"/>
              </w:rPr>
              <w:t>53.94:46.06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1101" w:type="dxa"/>
            <w:shd w:val="clear" w:color="auto" w:fill="D9E2F3" w:themeFill="accent5" w:themeFillTint="33"/>
            <w:vAlign w:val="center"/>
          </w:tcPr>
          <w:p>
            <w:pPr>
              <w:widowControl w:val="0"/>
              <w:jc w:val="center"/>
              <w:rPr>
                <w:rFonts w:ascii="黑体" w:hAnsi="黑体" w:eastAsia="黑体"/>
                <w:sz w:val="24"/>
                <w:szCs w:val="24"/>
              </w:rPr>
            </w:pPr>
            <w:r>
              <w:rPr>
                <w:rFonts w:hint="eastAsia" w:ascii="黑体" w:hAnsi="黑体" w:eastAsia="黑体"/>
                <w:sz w:val="24"/>
                <w:szCs w:val="24"/>
              </w:rPr>
              <w:t>2020</w:t>
            </w:r>
          </w:p>
        </w:tc>
        <w:tc>
          <w:tcPr>
            <w:tcW w:w="1417" w:type="dxa"/>
            <w:shd w:val="clear" w:color="auto" w:fill="C5E0B3" w:themeFill="accent6" w:themeFillTint="66"/>
            <w:vAlign w:val="center"/>
          </w:tcPr>
          <w:p>
            <w:pPr>
              <w:widowControl w:val="0"/>
              <w:jc w:val="center"/>
              <w:rPr>
                <w:sz w:val="24"/>
                <w:szCs w:val="24"/>
              </w:rPr>
            </w:pPr>
            <w:r>
              <w:rPr>
                <w:rFonts w:hint="eastAsia"/>
                <w:sz w:val="24"/>
                <w:szCs w:val="24"/>
              </w:rPr>
              <w:t>57</w:t>
            </w:r>
          </w:p>
        </w:tc>
        <w:tc>
          <w:tcPr>
            <w:tcW w:w="1418" w:type="dxa"/>
            <w:shd w:val="clear" w:color="auto" w:fill="C5E0B3" w:themeFill="accent6" w:themeFillTint="66"/>
            <w:vAlign w:val="center"/>
          </w:tcPr>
          <w:p>
            <w:pPr>
              <w:widowControl w:val="0"/>
              <w:jc w:val="center"/>
              <w:rPr>
                <w:sz w:val="24"/>
                <w:szCs w:val="24"/>
              </w:rPr>
            </w:pPr>
            <w:r>
              <w:rPr>
                <w:rFonts w:hint="eastAsia"/>
                <w:sz w:val="24"/>
                <w:szCs w:val="24"/>
              </w:rPr>
              <w:t>7.6</w:t>
            </w:r>
          </w:p>
        </w:tc>
        <w:tc>
          <w:tcPr>
            <w:tcW w:w="1701" w:type="dxa"/>
            <w:shd w:val="clear" w:color="auto" w:fill="C5E0B3" w:themeFill="accent6" w:themeFillTint="66"/>
            <w:vAlign w:val="center"/>
          </w:tcPr>
          <w:p>
            <w:pPr>
              <w:widowControl w:val="0"/>
              <w:jc w:val="center"/>
              <w:rPr>
                <w:sz w:val="24"/>
                <w:szCs w:val="24"/>
              </w:rPr>
            </w:pPr>
            <w:r>
              <w:rPr>
                <w:rFonts w:hint="eastAsia"/>
                <w:sz w:val="24"/>
                <w:szCs w:val="24"/>
              </w:rPr>
              <w:t>20.5</w:t>
            </w:r>
          </w:p>
        </w:tc>
        <w:tc>
          <w:tcPr>
            <w:tcW w:w="1559" w:type="dxa"/>
            <w:shd w:val="clear" w:color="auto" w:fill="C5E0B3" w:themeFill="accent6" w:themeFillTint="66"/>
            <w:vAlign w:val="center"/>
          </w:tcPr>
          <w:p>
            <w:pPr>
              <w:widowControl w:val="0"/>
              <w:jc w:val="center"/>
              <w:rPr>
                <w:sz w:val="24"/>
                <w:szCs w:val="24"/>
              </w:rPr>
            </w:pPr>
            <w:r>
              <w:rPr>
                <w:rFonts w:hint="eastAsia"/>
                <w:sz w:val="24"/>
                <w:szCs w:val="24"/>
              </w:rPr>
              <w:t>5.3</w:t>
            </w:r>
          </w:p>
        </w:tc>
        <w:tc>
          <w:tcPr>
            <w:tcW w:w="1660" w:type="dxa"/>
            <w:shd w:val="clear" w:color="auto" w:fill="C5E0B3" w:themeFill="accent6" w:themeFillTint="66"/>
            <w:vAlign w:val="center"/>
          </w:tcPr>
          <w:p>
            <w:pPr>
              <w:widowControl w:val="0"/>
              <w:jc w:val="center"/>
              <w:rPr>
                <w:sz w:val="24"/>
                <w:szCs w:val="24"/>
              </w:rPr>
            </w:pPr>
            <w:r>
              <w:rPr>
                <w:sz w:val="24"/>
                <w:szCs w:val="24"/>
              </w:rPr>
              <w:t>50.84:49.16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01" w:type="dxa"/>
            <w:shd w:val="clear" w:color="auto" w:fill="D9E2F3" w:themeFill="accent5" w:themeFillTint="33"/>
            <w:vAlign w:val="center"/>
          </w:tcPr>
          <w:p>
            <w:pPr>
              <w:widowControl w:val="0"/>
              <w:jc w:val="center"/>
              <w:rPr>
                <w:rFonts w:ascii="黑体" w:hAnsi="黑体" w:eastAsia="黑体"/>
                <w:sz w:val="24"/>
                <w:szCs w:val="24"/>
              </w:rPr>
            </w:pPr>
            <w:r>
              <w:rPr>
                <w:rFonts w:hint="eastAsia" w:ascii="黑体" w:hAnsi="黑体" w:eastAsia="黑体"/>
                <w:sz w:val="24"/>
                <w:szCs w:val="24"/>
              </w:rPr>
              <w:t>增幅</w:t>
            </w:r>
          </w:p>
        </w:tc>
        <w:tc>
          <w:tcPr>
            <w:tcW w:w="1417" w:type="dxa"/>
            <w:shd w:val="clear" w:color="auto" w:fill="C5E0B3" w:themeFill="accent6" w:themeFillTint="66"/>
            <w:vAlign w:val="center"/>
          </w:tcPr>
          <w:p>
            <w:pPr>
              <w:widowControl w:val="0"/>
              <w:jc w:val="center"/>
              <w:rPr>
                <w:sz w:val="24"/>
                <w:szCs w:val="24"/>
              </w:rPr>
            </w:pPr>
            <w:r>
              <w:rPr>
                <w:sz w:val="24"/>
                <w:szCs w:val="24"/>
              </w:rPr>
              <w:t>-1.72%</w:t>
            </w:r>
          </w:p>
        </w:tc>
        <w:tc>
          <w:tcPr>
            <w:tcW w:w="1418" w:type="dxa"/>
            <w:shd w:val="clear" w:color="auto" w:fill="C5E0B3" w:themeFill="accent6" w:themeFillTint="66"/>
            <w:vAlign w:val="center"/>
          </w:tcPr>
          <w:p>
            <w:pPr>
              <w:widowControl w:val="0"/>
              <w:jc w:val="center"/>
              <w:rPr>
                <w:sz w:val="24"/>
                <w:szCs w:val="24"/>
              </w:rPr>
            </w:pPr>
            <w:r>
              <w:rPr>
                <w:sz w:val="24"/>
                <w:szCs w:val="24"/>
              </w:rPr>
              <w:t>-6.1%</w:t>
            </w:r>
          </w:p>
        </w:tc>
        <w:tc>
          <w:tcPr>
            <w:tcW w:w="1701" w:type="dxa"/>
            <w:shd w:val="clear" w:color="auto" w:fill="C5E0B3" w:themeFill="accent6" w:themeFillTint="66"/>
            <w:vAlign w:val="center"/>
          </w:tcPr>
          <w:p>
            <w:pPr>
              <w:widowControl w:val="0"/>
              <w:jc w:val="center"/>
              <w:rPr>
                <w:sz w:val="24"/>
                <w:szCs w:val="24"/>
              </w:rPr>
            </w:pPr>
            <w:r>
              <w:rPr>
                <w:sz w:val="24"/>
                <w:szCs w:val="24"/>
              </w:rPr>
              <w:t>1.9%</w:t>
            </w:r>
          </w:p>
        </w:tc>
        <w:tc>
          <w:tcPr>
            <w:tcW w:w="1559" w:type="dxa"/>
            <w:shd w:val="clear" w:color="auto" w:fill="C5E0B3" w:themeFill="accent6" w:themeFillTint="66"/>
            <w:vAlign w:val="center"/>
          </w:tcPr>
          <w:p>
            <w:pPr>
              <w:widowControl w:val="0"/>
              <w:jc w:val="center"/>
              <w:rPr>
                <w:sz w:val="24"/>
                <w:szCs w:val="24"/>
              </w:rPr>
            </w:pPr>
            <w:r>
              <w:rPr>
                <w:sz w:val="24"/>
                <w:szCs w:val="24"/>
              </w:rPr>
              <w:t>3.9%</w:t>
            </w:r>
          </w:p>
        </w:tc>
        <w:tc>
          <w:tcPr>
            <w:tcW w:w="1660" w:type="dxa"/>
            <w:shd w:val="clear" w:color="auto" w:fill="C5E0B3" w:themeFill="accent6" w:themeFillTint="66"/>
            <w:vAlign w:val="center"/>
          </w:tcPr>
          <w:p>
            <w:pPr>
              <w:widowControl w:val="0"/>
              <w:jc w:val="center"/>
              <w:rPr>
                <w:sz w:val="24"/>
                <w:szCs w:val="24"/>
              </w:rPr>
            </w:pPr>
          </w:p>
        </w:tc>
      </w:tr>
    </w:tbl>
    <w:p>
      <w:pPr>
        <w:widowControl w:val="0"/>
        <w:ind w:firstLine="560" w:firstLineChars="200"/>
        <w:rPr>
          <w:rFonts w:ascii="楷体" w:hAnsi="楷体" w:eastAsia="楷体" w:cs="仿宋_GB2312"/>
          <w:sz w:val="28"/>
          <w:szCs w:val="28"/>
        </w:rPr>
      </w:pPr>
      <w:r>
        <w:rPr>
          <w:rFonts w:hint="eastAsia" w:ascii="楷体" w:hAnsi="楷体" w:eastAsia="楷体" w:cs="仿宋_GB2312"/>
          <w:sz w:val="28"/>
          <w:szCs w:val="28"/>
        </w:rPr>
        <w:t>注：表中统计数据不含省属学校、技工学校</w:t>
      </w:r>
    </w:p>
    <w:p>
      <w:pPr>
        <w:widowControl w:val="0"/>
        <w:jc w:val="center"/>
        <w:rPr>
          <w:rFonts w:ascii="宋体" w:hAnsi="宋体" w:cs="宋体"/>
          <w:b/>
          <w:bCs/>
          <w:sz w:val="28"/>
          <w:szCs w:val="28"/>
        </w:rPr>
      </w:pPr>
      <w:r>
        <w:rPr>
          <w:rFonts w:hint="eastAsia" w:ascii="宋体" w:hAnsi="宋体" w:cs="宋体"/>
          <w:b/>
          <w:bCs/>
          <w:sz w:val="28"/>
          <w:szCs w:val="28"/>
        </w:rPr>
        <w:t>表1-4  2018—2020年郑州市中等职业学校三年在校生规模比较图</w:t>
      </w:r>
    </w:p>
    <w:p>
      <w:pPr>
        <w:widowControl w:val="0"/>
        <w:rPr>
          <w:rFonts w:ascii="仿宋" w:hAnsi="仿宋" w:eastAsia="仿宋" w:cs="仿宋"/>
          <w:sz w:val="32"/>
          <w:szCs w:val="32"/>
        </w:rPr>
      </w:pPr>
      <w:r>
        <w:rPr>
          <w:rFonts w:hint="eastAsia" w:ascii="仿宋" w:hAnsi="仿宋" w:eastAsia="仿宋" w:cs="仿宋"/>
          <w:sz w:val="32"/>
          <w:szCs w:val="32"/>
        </w:rPr>
        <w:t xml:space="preserve"> </w:t>
      </w:r>
      <w:bookmarkStart w:id="34" w:name="_Toc23760"/>
      <w:r>
        <w:rPr>
          <w:rFonts w:hint="eastAsia" w:ascii="仿宋" w:hAnsi="仿宋" w:eastAsia="仿宋" w:cs="仿宋"/>
          <w:sz w:val="32"/>
          <w:szCs w:val="32"/>
        </w:rPr>
        <w:t xml:space="preserve">  </w:t>
      </w:r>
      <w:r>
        <w:drawing>
          <wp:inline distT="0" distB="0" distL="0" distR="0">
            <wp:extent cx="4572000" cy="2743200"/>
            <wp:effectExtent l="0" t="0" r="19050" b="1905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bookmarkStart w:id="35" w:name="_Toc6818_WPSOffice_Level2"/>
      <w:bookmarkStart w:id="36" w:name="_Toc13651_WPSOffice_Level2"/>
    </w:p>
    <w:p>
      <w:pPr>
        <w:widowControl w:val="0"/>
        <w:rPr>
          <w:rFonts w:ascii="楷体" w:hAnsi="楷体" w:eastAsia="楷体" w:cs="楷体"/>
          <w:b/>
          <w:bCs/>
          <w:sz w:val="32"/>
          <w:szCs w:val="32"/>
        </w:rPr>
      </w:pPr>
    </w:p>
    <w:p>
      <w:pPr>
        <w:widowControl w:val="0"/>
        <w:rPr>
          <w:rFonts w:ascii="楷体" w:hAnsi="楷体" w:eastAsia="楷体" w:cs="楷体"/>
          <w:b/>
          <w:bCs/>
          <w:sz w:val="32"/>
          <w:szCs w:val="32"/>
        </w:rPr>
      </w:pPr>
      <w:r>
        <w:rPr>
          <w:rFonts w:hint="eastAsia" w:ascii="楷体" w:hAnsi="楷体" w:eastAsia="楷体" w:cs="楷体"/>
          <w:b/>
          <w:bCs/>
          <w:sz w:val="32"/>
          <w:szCs w:val="32"/>
        </w:rPr>
        <w:t>1.2设施设备</w:t>
      </w:r>
      <w:bookmarkEnd w:id="34"/>
      <w:bookmarkEnd w:id="35"/>
      <w:bookmarkEnd w:id="36"/>
    </w:p>
    <w:p>
      <w:pPr>
        <w:widowControl w:val="0"/>
        <w:ind w:firstLine="640" w:firstLineChars="200"/>
        <w:rPr>
          <w:rFonts w:ascii="仿宋_GB2312" w:hAnsi="仿宋_GB2312" w:eastAsia="仿宋_GB2312" w:cs="仿宋_GB2312"/>
          <w:sz w:val="32"/>
          <w:szCs w:val="32"/>
        </w:rPr>
      </w:pPr>
      <w:r>
        <w:rPr>
          <w:rFonts w:hint="eastAsia" w:ascii="仿宋_GB2312" w:eastAsia="仿宋_GB2312" w:cs="仿宋_GB2312"/>
          <w:sz w:val="32"/>
          <w:szCs w:val="32"/>
        </w:rPr>
        <w:t>2020年，</w:t>
      </w:r>
      <w:r>
        <w:rPr>
          <w:rFonts w:hint="eastAsia" w:ascii="仿宋_GB2312" w:hAnsi="仿宋_GB2312" w:eastAsia="仿宋_GB2312" w:cs="仿宋_GB2312"/>
          <w:sz w:val="32"/>
          <w:szCs w:val="32"/>
        </w:rPr>
        <w:t>全市中等职业学校占地面积437.58万平方米，建筑面积262.07万平方米，固定资产值31.06亿元，教学仪器设备价值8.06亿元，纸质图书347.13万册。生均各项指标与2019年相比，除生均建筑面积外，其它均略有升高，变化情况如下：</w:t>
      </w:r>
    </w:p>
    <w:p>
      <w:pPr>
        <w:widowControl w:val="0"/>
        <w:ind w:firstLine="280" w:firstLineChars="100"/>
        <w:rPr>
          <w:rFonts w:ascii="黑体" w:hAnsi="黑体" w:eastAsia="黑体"/>
          <w:sz w:val="28"/>
          <w:szCs w:val="28"/>
        </w:rPr>
      </w:pPr>
      <w:r>
        <w:rPr>
          <w:rFonts w:hint="eastAsia" w:ascii="黑体" w:hAnsi="黑体" w:eastAsia="黑体"/>
          <w:sz w:val="28"/>
          <w:szCs w:val="28"/>
        </w:rPr>
        <w:t>表1-5：2019-2020年 郑州市中等职业学校生均办学基本指标</w:t>
      </w:r>
    </w:p>
    <w:tbl>
      <w:tblPr>
        <w:tblStyle w:val="14"/>
        <w:tblW w:w="84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1"/>
        <w:gridCol w:w="1500"/>
        <w:gridCol w:w="1625"/>
        <w:gridCol w:w="1750"/>
        <w:gridCol w:w="1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1" w:type="dxa"/>
            <w:shd w:val="clear" w:color="auto" w:fill="D9E2F3" w:themeFill="accent5" w:themeFillTint="33"/>
          </w:tcPr>
          <w:p>
            <w:pPr>
              <w:widowControl w:val="0"/>
              <w:spacing w:line="360" w:lineRule="auto"/>
              <w:jc w:val="center"/>
              <w:rPr>
                <w:rFonts w:ascii="黑体" w:hAnsi="黑体" w:eastAsia="黑体" w:cstheme="minorEastAsia"/>
                <w:sz w:val="24"/>
                <w:szCs w:val="24"/>
              </w:rPr>
            </w:pPr>
            <w:r>
              <w:rPr>
                <w:rFonts w:hint="eastAsia" w:ascii="黑体" w:hAnsi="黑体" w:eastAsia="黑体" w:cstheme="minorEastAsia"/>
                <w:sz w:val="24"/>
                <w:szCs w:val="24"/>
              </w:rPr>
              <w:t>项  目</w:t>
            </w:r>
          </w:p>
        </w:tc>
        <w:tc>
          <w:tcPr>
            <w:tcW w:w="1500" w:type="dxa"/>
            <w:shd w:val="clear" w:color="auto" w:fill="D9E2F3" w:themeFill="accent5" w:themeFillTint="33"/>
          </w:tcPr>
          <w:p>
            <w:pPr>
              <w:widowControl w:val="0"/>
              <w:spacing w:line="360" w:lineRule="auto"/>
              <w:jc w:val="center"/>
              <w:rPr>
                <w:rFonts w:ascii="黑体" w:hAnsi="黑体" w:eastAsia="黑体" w:cstheme="minorEastAsia"/>
                <w:sz w:val="24"/>
                <w:szCs w:val="24"/>
              </w:rPr>
            </w:pPr>
            <w:r>
              <w:rPr>
                <w:rFonts w:hint="eastAsia" w:ascii="黑体" w:hAnsi="黑体" w:eastAsia="黑体" w:cstheme="minorEastAsia"/>
                <w:sz w:val="24"/>
                <w:szCs w:val="24"/>
              </w:rPr>
              <w:t>单  位</w:t>
            </w:r>
          </w:p>
        </w:tc>
        <w:tc>
          <w:tcPr>
            <w:tcW w:w="1625" w:type="dxa"/>
            <w:shd w:val="clear" w:color="auto" w:fill="D9E2F3" w:themeFill="accent5" w:themeFillTint="33"/>
            <w:vAlign w:val="center"/>
          </w:tcPr>
          <w:p>
            <w:pPr>
              <w:widowControl w:val="0"/>
              <w:spacing w:line="360" w:lineRule="auto"/>
              <w:jc w:val="center"/>
              <w:rPr>
                <w:rFonts w:ascii="黑体" w:hAnsi="黑体" w:eastAsia="黑体" w:cstheme="minorEastAsia"/>
                <w:kern w:val="0"/>
                <w:sz w:val="24"/>
                <w:szCs w:val="24"/>
                <w:lang w:bidi="ar"/>
              </w:rPr>
            </w:pPr>
            <w:r>
              <w:rPr>
                <w:rFonts w:hint="eastAsia" w:ascii="黑体" w:hAnsi="黑体" w:eastAsia="黑体" w:cstheme="minorEastAsia"/>
                <w:kern w:val="0"/>
                <w:sz w:val="24"/>
                <w:szCs w:val="24"/>
                <w:lang w:bidi="ar"/>
              </w:rPr>
              <w:t>2019年</w:t>
            </w:r>
          </w:p>
        </w:tc>
        <w:tc>
          <w:tcPr>
            <w:tcW w:w="1750" w:type="dxa"/>
            <w:shd w:val="clear" w:color="auto" w:fill="D9E2F3" w:themeFill="accent5" w:themeFillTint="33"/>
            <w:vAlign w:val="center"/>
          </w:tcPr>
          <w:p>
            <w:pPr>
              <w:widowControl w:val="0"/>
              <w:spacing w:line="360" w:lineRule="auto"/>
              <w:jc w:val="center"/>
              <w:rPr>
                <w:rFonts w:ascii="黑体" w:hAnsi="黑体" w:eastAsia="黑体" w:cstheme="minorEastAsia"/>
                <w:sz w:val="24"/>
                <w:szCs w:val="24"/>
              </w:rPr>
            </w:pPr>
            <w:r>
              <w:rPr>
                <w:rFonts w:hint="eastAsia" w:ascii="黑体" w:hAnsi="黑体" w:eastAsia="黑体" w:cstheme="minorEastAsia"/>
                <w:kern w:val="0"/>
                <w:sz w:val="24"/>
                <w:szCs w:val="24"/>
                <w:lang w:bidi="ar"/>
              </w:rPr>
              <w:t>2020年</w:t>
            </w:r>
          </w:p>
        </w:tc>
        <w:tc>
          <w:tcPr>
            <w:tcW w:w="1425" w:type="dxa"/>
            <w:shd w:val="clear" w:color="auto" w:fill="D9E2F3" w:themeFill="accent5" w:themeFillTint="33"/>
            <w:vAlign w:val="center"/>
          </w:tcPr>
          <w:p>
            <w:pPr>
              <w:widowControl w:val="0"/>
              <w:spacing w:line="360" w:lineRule="auto"/>
              <w:jc w:val="center"/>
              <w:rPr>
                <w:rFonts w:ascii="黑体" w:hAnsi="黑体" w:eastAsia="黑体" w:cstheme="minorEastAsia"/>
                <w:sz w:val="24"/>
                <w:szCs w:val="24"/>
              </w:rPr>
            </w:pPr>
            <w:r>
              <w:rPr>
                <w:rFonts w:hint="eastAsia" w:ascii="黑体" w:hAnsi="黑体" w:eastAsia="黑体" w:cstheme="minorEastAsia"/>
                <w:kern w:val="0"/>
                <w:sz w:val="24"/>
                <w:szCs w:val="24"/>
                <w:lang w:bidi="ar"/>
              </w:rPr>
              <w:t>增长率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1" w:type="dxa"/>
            <w:shd w:val="clear" w:color="auto" w:fill="D9E2F3" w:themeFill="accent5" w:themeFillTint="33"/>
            <w:vAlign w:val="center"/>
          </w:tcPr>
          <w:p>
            <w:pPr>
              <w:widowControl w:val="0"/>
              <w:spacing w:line="360" w:lineRule="auto"/>
              <w:jc w:val="center"/>
              <w:rPr>
                <w:rFonts w:ascii="黑体" w:hAnsi="黑体" w:eastAsia="黑体" w:cstheme="minorEastAsia"/>
                <w:kern w:val="0"/>
                <w:sz w:val="24"/>
                <w:szCs w:val="24"/>
                <w:lang w:bidi="ar"/>
              </w:rPr>
            </w:pPr>
            <w:r>
              <w:rPr>
                <w:rFonts w:hint="eastAsia" w:ascii="黑体" w:hAnsi="黑体" w:eastAsia="黑体" w:cstheme="minorEastAsia"/>
                <w:kern w:val="0"/>
                <w:sz w:val="24"/>
                <w:szCs w:val="24"/>
                <w:lang w:bidi="ar"/>
              </w:rPr>
              <w:t>三年在校生数</w:t>
            </w:r>
          </w:p>
        </w:tc>
        <w:tc>
          <w:tcPr>
            <w:tcW w:w="1500" w:type="dxa"/>
            <w:shd w:val="clear" w:color="auto" w:fill="C5E0B3" w:themeFill="accent6" w:themeFillTint="66"/>
            <w:vAlign w:val="center"/>
          </w:tcPr>
          <w:p>
            <w:pPr>
              <w:widowControl w:val="0"/>
              <w:spacing w:line="360" w:lineRule="auto"/>
              <w:jc w:val="center"/>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sz w:val="24"/>
                <w:szCs w:val="24"/>
              </w:rPr>
              <w:t>人</w:t>
            </w:r>
          </w:p>
        </w:tc>
        <w:tc>
          <w:tcPr>
            <w:tcW w:w="1625" w:type="dxa"/>
            <w:shd w:val="clear" w:color="auto" w:fill="C5E0B3" w:themeFill="accent6" w:themeFillTint="66"/>
            <w:vAlign w:val="center"/>
          </w:tcPr>
          <w:p>
            <w:pPr>
              <w:widowControl w:val="0"/>
              <w:spacing w:line="360" w:lineRule="auto"/>
              <w:jc w:val="center"/>
              <w:rPr>
                <w:rFonts w:asciiTheme="minorEastAsia" w:hAnsiTheme="minorEastAsia" w:eastAsiaTheme="minorEastAsia" w:cstheme="minorEastAsia"/>
                <w:kern w:val="0"/>
                <w:sz w:val="24"/>
                <w:szCs w:val="24"/>
                <w:lang w:bidi="ar"/>
              </w:rPr>
            </w:pPr>
            <w:r>
              <w:rPr>
                <w:rFonts w:hint="eastAsia" w:asciiTheme="minorEastAsia" w:hAnsiTheme="minorEastAsia" w:eastAsiaTheme="minorEastAsia" w:cstheme="minorEastAsia"/>
                <w:sz w:val="24"/>
                <w:szCs w:val="24"/>
              </w:rPr>
              <w:t>201041</w:t>
            </w:r>
          </w:p>
        </w:tc>
        <w:tc>
          <w:tcPr>
            <w:tcW w:w="1750" w:type="dxa"/>
            <w:shd w:val="clear" w:color="auto" w:fill="C5E0B3" w:themeFill="accent6" w:themeFillTint="66"/>
            <w:vAlign w:val="center"/>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205216</w:t>
            </w:r>
          </w:p>
        </w:tc>
        <w:tc>
          <w:tcPr>
            <w:tcW w:w="1425" w:type="dxa"/>
            <w:shd w:val="clear" w:color="auto" w:fill="C5E0B3" w:themeFill="accent6" w:themeFillTint="66"/>
            <w:vAlign w:val="center"/>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91" w:type="dxa"/>
            <w:shd w:val="clear" w:color="auto" w:fill="D9E2F3" w:themeFill="accent5" w:themeFillTint="33"/>
            <w:vAlign w:val="center"/>
          </w:tcPr>
          <w:p>
            <w:pPr>
              <w:widowControl w:val="0"/>
              <w:spacing w:line="360" w:lineRule="auto"/>
              <w:jc w:val="center"/>
              <w:rPr>
                <w:rFonts w:ascii="黑体" w:hAnsi="黑体" w:eastAsia="黑体" w:cstheme="minorEastAsia"/>
                <w:kern w:val="0"/>
                <w:sz w:val="24"/>
                <w:szCs w:val="24"/>
                <w:lang w:bidi="ar"/>
              </w:rPr>
            </w:pPr>
            <w:r>
              <w:rPr>
                <w:rFonts w:hint="eastAsia" w:ascii="黑体" w:hAnsi="黑体" w:eastAsia="黑体" w:cstheme="minorEastAsia"/>
                <w:kern w:val="0"/>
                <w:sz w:val="24"/>
                <w:szCs w:val="24"/>
                <w:lang w:bidi="ar"/>
              </w:rPr>
              <w:t>生均占地面积</w:t>
            </w:r>
          </w:p>
        </w:tc>
        <w:tc>
          <w:tcPr>
            <w:tcW w:w="1500" w:type="dxa"/>
            <w:shd w:val="clear" w:color="auto" w:fill="C5E0B3" w:themeFill="accent6" w:themeFillTint="66"/>
            <w:vAlign w:val="center"/>
          </w:tcPr>
          <w:p>
            <w:pPr>
              <w:widowControl w:val="0"/>
              <w:spacing w:line="360" w:lineRule="auto"/>
              <w:jc w:val="center"/>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kern w:val="0"/>
                <w:sz w:val="24"/>
                <w:szCs w:val="24"/>
                <w:lang w:bidi="ar"/>
              </w:rPr>
              <w:t>平方米</w:t>
            </w:r>
          </w:p>
        </w:tc>
        <w:tc>
          <w:tcPr>
            <w:tcW w:w="1625" w:type="dxa"/>
            <w:shd w:val="clear" w:color="auto" w:fill="C5E0B3" w:themeFill="accent6" w:themeFillTint="66"/>
            <w:vAlign w:val="center"/>
          </w:tcPr>
          <w:p>
            <w:pPr>
              <w:widowControl w:val="0"/>
              <w:spacing w:line="360" w:lineRule="auto"/>
              <w:jc w:val="center"/>
              <w:rPr>
                <w:rFonts w:asciiTheme="minorEastAsia" w:hAnsiTheme="minorEastAsia" w:eastAsiaTheme="minorEastAsia" w:cstheme="minorEastAsia"/>
                <w:kern w:val="0"/>
                <w:sz w:val="24"/>
                <w:szCs w:val="24"/>
                <w:lang w:bidi="ar"/>
              </w:rPr>
            </w:pPr>
            <w:r>
              <w:rPr>
                <w:rFonts w:hint="eastAsia" w:asciiTheme="minorEastAsia" w:hAnsiTheme="minorEastAsia" w:eastAsiaTheme="minorEastAsia" w:cstheme="minorEastAsia"/>
                <w:sz w:val="24"/>
                <w:szCs w:val="24"/>
              </w:rPr>
              <w:t>20.63</w:t>
            </w:r>
          </w:p>
        </w:tc>
        <w:tc>
          <w:tcPr>
            <w:tcW w:w="1750" w:type="dxa"/>
            <w:shd w:val="clear" w:color="auto" w:fill="C5E0B3" w:themeFill="accent6" w:themeFillTint="66"/>
            <w:vAlign w:val="center"/>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21.32</w:t>
            </w:r>
          </w:p>
        </w:tc>
        <w:tc>
          <w:tcPr>
            <w:tcW w:w="1425" w:type="dxa"/>
            <w:shd w:val="clear" w:color="auto" w:fill="C5E0B3" w:themeFill="accent6" w:themeFillTint="66"/>
            <w:vAlign w:val="center"/>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1" w:type="dxa"/>
            <w:shd w:val="clear" w:color="auto" w:fill="D9E2F3" w:themeFill="accent5" w:themeFillTint="33"/>
            <w:vAlign w:val="center"/>
          </w:tcPr>
          <w:p>
            <w:pPr>
              <w:widowControl w:val="0"/>
              <w:spacing w:line="360" w:lineRule="auto"/>
              <w:jc w:val="center"/>
              <w:rPr>
                <w:rFonts w:ascii="黑体" w:hAnsi="黑体" w:eastAsia="黑体" w:cstheme="minorEastAsia"/>
                <w:kern w:val="0"/>
                <w:sz w:val="24"/>
                <w:szCs w:val="24"/>
                <w:lang w:bidi="ar"/>
              </w:rPr>
            </w:pPr>
            <w:r>
              <w:rPr>
                <w:rFonts w:hint="eastAsia" w:ascii="黑体" w:hAnsi="黑体" w:eastAsia="黑体" w:cstheme="minorEastAsia"/>
                <w:kern w:val="0"/>
                <w:sz w:val="24"/>
                <w:szCs w:val="24"/>
                <w:lang w:bidi="ar"/>
              </w:rPr>
              <w:t>生均建筑面积</w:t>
            </w:r>
          </w:p>
        </w:tc>
        <w:tc>
          <w:tcPr>
            <w:tcW w:w="1500" w:type="dxa"/>
            <w:shd w:val="clear" w:color="auto" w:fill="C5E0B3" w:themeFill="accent6" w:themeFillTint="66"/>
            <w:vAlign w:val="center"/>
          </w:tcPr>
          <w:p>
            <w:pPr>
              <w:widowControl w:val="0"/>
              <w:spacing w:line="360" w:lineRule="auto"/>
              <w:jc w:val="center"/>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kern w:val="0"/>
                <w:sz w:val="24"/>
                <w:szCs w:val="24"/>
                <w:lang w:bidi="ar"/>
              </w:rPr>
              <w:t>平方米</w:t>
            </w:r>
          </w:p>
        </w:tc>
        <w:tc>
          <w:tcPr>
            <w:tcW w:w="1625" w:type="dxa"/>
            <w:shd w:val="clear" w:color="auto" w:fill="C5E0B3" w:themeFill="accent6" w:themeFillTint="66"/>
            <w:vAlign w:val="center"/>
          </w:tcPr>
          <w:p>
            <w:pPr>
              <w:widowControl w:val="0"/>
              <w:spacing w:line="360" w:lineRule="auto"/>
              <w:jc w:val="center"/>
              <w:rPr>
                <w:rFonts w:asciiTheme="minorEastAsia" w:hAnsiTheme="minorEastAsia" w:eastAsiaTheme="minorEastAsia" w:cstheme="minorEastAsia"/>
                <w:kern w:val="0"/>
                <w:sz w:val="24"/>
                <w:szCs w:val="24"/>
                <w:lang w:bidi="ar"/>
              </w:rPr>
            </w:pPr>
            <w:r>
              <w:rPr>
                <w:rFonts w:hint="eastAsia" w:asciiTheme="minorEastAsia" w:hAnsiTheme="minorEastAsia" w:eastAsiaTheme="minorEastAsia" w:cstheme="minorEastAsia"/>
                <w:sz w:val="24"/>
                <w:szCs w:val="24"/>
              </w:rPr>
              <w:t>13.57</w:t>
            </w:r>
          </w:p>
        </w:tc>
        <w:tc>
          <w:tcPr>
            <w:tcW w:w="1750" w:type="dxa"/>
            <w:shd w:val="clear" w:color="auto" w:fill="C5E0B3" w:themeFill="accent6" w:themeFillTint="66"/>
            <w:vAlign w:val="center"/>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12.77</w:t>
            </w:r>
          </w:p>
        </w:tc>
        <w:tc>
          <w:tcPr>
            <w:tcW w:w="1425" w:type="dxa"/>
            <w:shd w:val="clear" w:color="auto" w:fill="C5E0B3" w:themeFill="accent6" w:themeFillTint="66"/>
            <w:vAlign w:val="center"/>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1" w:type="dxa"/>
            <w:shd w:val="clear" w:color="auto" w:fill="D9E2F3" w:themeFill="accent5" w:themeFillTint="33"/>
            <w:vAlign w:val="center"/>
          </w:tcPr>
          <w:p>
            <w:pPr>
              <w:widowControl w:val="0"/>
              <w:spacing w:line="360" w:lineRule="auto"/>
              <w:jc w:val="center"/>
              <w:rPr>
                <w:rFonts w:ascii="黑体" w:hAnsi="黑体" w:eastAsia="黑体" w:cstheme="minorEastAsia"/>
                <w:kern w:val="0"/>
                <w:sz w:val="24"/>
                <w:szCs w:val="24"/>
                <w:lang w:bidi="ar"/>
              </w:rPr>
            </w:pPr>
            <w:r>
              <w:rPr>
                <w:rFonts w:hint="eastAsia" w:ascii="黑体" w:hAnsi="黑体" w:eastAsia="黑体" w:cstheme="minorEastAsia"/>
                <w:kern w:val="0"/>
                <w:sz w:val="24"/>
                <w:szCs w:val="24"/>
                <w:lang w:bidi="ar"/>
              </w:rPr>
              <w:t>生均固定资产值</w:t>
            </w:r>
          </w:p>
        </w:tc>
        <w:tc>
          <w:tcPr>
            <w:tcW w:w="1500" w:type="dxa"/>
            <w:shd w:val="clear" w:color="auto" w:fill="C5E0B3" w:themeFill="accent6" w:themeFillTint="66"/>
            <w:vAlign w:val="center"/>
          </w:tcPr>
          <w:p>
            <w:pPr>
              <w:widowControl w:val="0"/>
              <w:spacing w:line="360" w:lineRule="auto"/>
              <w:jc w:val="center"/>
              <w:rPr>
                <w:rFonts w:asciiTheme="minorEastAsia" w:hAnsiTheme="minorEastAsia" w:eastAsiaTheme="minorEastAsia" w:cstheme="minorEastAsia"/>
                <w:kern w:val="0"/>
                <w:sz w:val="24"/>
                <w:szCs w:val="24"/>
                <w:lang w:bidi="ar"/>
              </w:rPr>
            </w:pPr>
            <w:r>
              <w:rPr>
                <w:rFonts w:hint="eastAsia" w:asciiTheme="minorEastAsia" w:hAnsiTheme="minorEastAsia" w:eastAsiaTheme="minorEastAsia" w:cstheme="minorEastAsia"/>
                <w:kern w:val="0"/>
                <w:sz w:val="24"/>
                <w:szCs w:val="24"/>
                <w:lang w:bidi="ar"/>
              </w:rPr>
              <w:t>万元</w:t>
            </w:r>
          </w:p>
        </w:tc>
        <w:tc>
          <w:tcPr>
            <w:tcW w:w="1625" w:type="dxa"/>
            <w:shd w:val="clear" w:color="auto" w:fill="C5E0B3" w:themeFill="accent6" w:themeFillTint="66"/>
            <w:vAlign w:val="center"/>
          </w:tcPr>
          <w:p>
            <w:pPr>
              <w:widowControl w:val="0"/>
              <w:spacing w:line="360" w:lineRule="auto"/>
              <w:jc w:val="center"/>
              <w:rPr>
                <w:rFonts w:asciiTheme="minorEastAsia" w:hAnsiTheme="minorEastAsia" w:eastAsiaTheme="minorEastAsia" w:cstheme="minorEastAsia"/>
                <w:kern w:val="0"/>
                <w:sz w:val="24"/>
                <w:szCs w:val="24"/>
                <w:lang w:bidi="ar"/>
              </w:rPr>
            </w:pPr>
            <w:r>
              <w:rPr>
                <w:rFonts w:hint="eastAsia" w:asciiTheme="minorEastAsia" w:hAnsiTheme="minorEastAsia" w:eastAsiaTheme="minorEastAsia" w:cstheme="minorEastAsia"/>
                <w:sz w:val="24"/>
                <w:szCs w:val="24"/>
              </w:rPr>
              <w:t>1.37</w:t>
            </w:r>
          </w:p>
        </w:tc>
        <w:tc>
          <w:tcPr>
            <w:tcW w:w="1750" w:type="dxa"/>
            <w:shd w:val="clear" w:color="auto" w:fill="C5E0B3" w:themeFill="accent6" w:themeFillTint="66"/>
            <w:vAlign w:val="center"/>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1.51</w:t>
            </w:r>
          </w:p>
        </w:tc>
        <w:tc>
          <w:tcPr>
            <w:tcW w:w="1425" w:type="dxa"/>
            <w:shd w:val="clear" w:color="auto" w:fill="C5E0B3" w:themeFill="accent6" w:themeFillTint="66"/>
            <w:vAlign w:val="center"/>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1" w:type="dxa"/>
            <w:shd w:val="clear" w:color="auto" w:fill="D9E2F3" w:themeFill="accent5" w:themeFillTint="33"/>
            <w:vAlign w:val="center"/>
          </w:tcPr>
          <w:p>
            <w:pPr>
              <w:widowControl w:val="0"/>
              <w:spacing w:line="360" w:lineRule="auto"/>
              <w:jc w:val="center"/>
              <w:rPr>
                <w:rFonts w:ascii="黑体" w:hAnsi="黑体" w:eastAsia="黑体" w:cstheme="minorEastAsia"/>
                <w:kern w:val="0"/>
                <w:sz w:val="24"/>
                <w:szCs w:val="24"/>
                <w:lang w:bidi="ar"/>
              </w:rPr>
            </w:pPr>
            <w:r>
              <w:rPr>
                <w:rFonts w:hint="eastAsia" w:ascii="黑体" w:hAnsi="黑体" w:eastAsia="黑体" w:cstheme="minorEastAsia"/>
                <w:kern w:val="0"/>
                <w:sz w:val="24"/>
                <w:szCs w:val="24"/>
                <w:lang w:bidi="ar"/>
              </w:rPr>
              <w:t>生均仪器设备值</w:t>
            </w:r>
          </w:p>
        </w:tc>
        <w:tc>
          <w:tcPr>
            <w:tcW w:w="1500" w:type="dxa"/>
            <w:shd w:val="clear" w:color="auto" w:fill="C5E0B3" w:themeFill="accent6" w:themeFillTint="66"/>
            <w:vAlign w:val="center"/>
          </w:tcPr>
          <w:p>
            <w:pPr>
              <w:widowControl w:val="0"/>
              <w:spacing w:line="360" w:lineRule="auto"/>
              <w:jc w:val="center"/>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kern w:val="0"/>
                <w:sz w:val="24"/>
                <w:szCs w:val="24"/>
                <w:lang w:bidi="ar"/>
              </w:rPr>
              <w:t>万元</w:t>
            </w:r>
          </w:p>
        </w:tc>
        <w:tc>
          <w:tcPr>
            <w:tcW w:w="1625" w:type="dxa"/>
            <w:shd w:val="clear" w:color="auto" w:fill="C5E0B3" w:themeFill="accent6" w:themeFillTint="66"/>
            <w:vAlign w:val="center"/>
          </w:tcPr>
          <w:p>
            <w:pPr>
              <w:widowControl w:val="0"/>
              <w:spacing w:line="360" w:lineRule="auto"/>
              <w:jc w:val="center"/>
              <w:rPr>
                <w:rFonts w:asciiTheme="minorEastAsia" w:hAnsiTheme="minorEastAsia" w:eastAsiaTheme="minorEastAsia" w:cstheme="minorEastAsia"/>
                <w:kern w:val="0"/>
                <w:sz w:val="24"/>
                <w:szCs w:val="24"/>
                <w:lang w:bidi="ar"/>
              </w:rPr>
            </w:pPr>
            <w:r>
              <w:rPr>
                <w:rFonts w:hint="eastAsia" w:asciiTheme="minorEastAsia" w:hAnsiTheme="minorEastAsia" w:eastAsiaTheme="minorEastAsia" w:cstheme="minorEastAsia"/>
                <w:sz w:val="24"/>
                <w:szCs w:val="24"/>
              </w:rPr>
              <w:t>0.367</w:t>
            </w:r>
          </w:p>
        </w:tc>
        <w:tc>
          <w:tcPr>
            <w:tcW w:w="1750" w:type="dxa"/>
            <w:shd w:val="clear" w:color="auto" w:fill="C5E0B3" w:themeFill="accent6" w:themeFillTint="66"/>
            <w:vAlign w:val="center"/>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0.393</w:t>
            </w:r>
          </w:p>
        </w:tc>
        <w:tc>
          <w:tcPr>
            <w:tcW w:w="1425" w:type="dxa"/>
            <w:shd w:val="clear" w:color="auto" w:fill="C5E0B3" w:themeFill="accent6" w:themeFillTint="66"/>
            <w:vAlign w:val="center"/>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1" w:type="dxa"/>
            <w:shd w:val="clear" w:color="auto" w:fill="D9E2F3" w:themeFill="accent5" w:themeFillTint="33"/>
            <w:vAlign w:val="center"/>
          </w:tcPr>
          <w:p>
            <w:pPr>
              <w:widowControl w:val="0"/>
              <w:spacing w:line="360" w:lineRule="auto"/>
              <w:jc w:val="center"/>
              <w:rPr>
                <w:rFonts w:ascii="黑体" w:hAnsi="黑体" w:eastAsia="黑体" w:cstheme="minorEastAsia"/>
                <w:kern w:val="0"/>
                <w:sz w:val="24"/>
                <w:szCs w:val="24"/>
                <w:lang w:bidi="ar"/>
              </w:rPr>
            </w:pPr>
            <w:r>
              <w:rPr>
                <w:rFonts w:hint="eastAsia" w:ascii="黑体" w:hAnsi="黑体" w:eastAsia="黑体" w:cstheme="minorEastAsia"/>
                <w:kern w:val="0"/>
                <w:sz w:val="24"/>
                <w:szCs w:val="24"/>
                <w:lang w:bidi="ar"/>
              </w:rPr>
              <w:t>生均纸质图书</w:t>
            </w:r>
          </w:p>
        </w:tc>
        <w:tc>
          <w:tcPr>
            <w:tcW w:w="1500" w:type="dxa"/>
            <w:shd w:val="clear" w:color="auto" w:fill="C5E0B3" w:themeFill="accent6" w:themeFillTint="66"/>
            <w:vAlign w:val="center"/>
          </w:tcPr>
          <w:p>
            <w:pPr>
              <w:widowControl w:val="0"/>
              <w:spacing w:line="360" w:lineRule="auto"/>
              <w:jc w:val="center"/>
              <w:rPr>
                <w:rFonts w:asciiTheme="minorEastAsia" w:hAnsiTheme="minorEastAsia" w:eastAsiaTheme="minorEastAsia" w:cstheme="minorEastAsia"/>
                <w:kern w:val="0"/>
                <w:sz w:val="24"/>
                <w:szCs w:val="24"/>
                <w:lang w:bidi="ar"/>
              </w:rPr>
            </w:pPr>
            <w:r>
              <w:rPr>
                <w:rFonts w:hint="eastAsia" w:asciiTheme="minorEastAsia" w:hAnsiTheme="minorEastAsia" w:eastAsiaTheme="minorEastAsia" w:cstheme="minorEastAsia"/>
                <w:kern w:val="0"/>
                <w:sz w:val="24"/>
                <w:szCs w:val="24"/>
                <w:lang w:bidi="ar"/>
              </w:rPr>
              <w:t>册</w:t>
            </w:r>
          </w:p>
        </w:tc>
        <w:tc>
          <w:tcPr>
            <w:tcW w:w="1625" w:type="dxa"/>
            <w:shd w:val="clear" w:color="auto" w:fill="C5E0B3" w:themeFill="accent6" w:themeFillTint="66"/>
            <w:vAlign w:val="center"/>
          </w:tcPr>
          <w:p>
            <w:pPr>
              <w:widowControl w:val="0"/>
              <w:spacing w:line="360" w:lineRule="auto"/>
              <w:jc w:val="center"/>
              <w:rPr>
                <w:rFonts w:asciiTheme="minorEastAsia" w:hAnsiTheme="minorEastAsia" w:eastAsiaTheme="minorEastAsia" w:cstheme="minorEastAsia"/>
                <w:kern w:val="0"/>
                <w:sz w:val="24"/>
                <w:szCs w:val="24"/>
                <w:lang w:bidi="ar"/>
              </w:rPr>
            </w:pPr>
            <w:r>
              <w:rPr>
                <w:rFonts w:hint="eastAsia" w:asciiTheme="minorEastAsia" w:hAnsiTheme="minorEastAsia" w:eastAsiaTheme="minorEastAsia" w:cstheme="minorEastAsia"/>
                <w:sz w:val="24"/>
                <w:szCs w:val="24"/>
              </w:rPr>
              <w:t>16.68</w:t>
            </w:r>
          </w:p>
        </w:tc>
        <w:tc>
          <w:tcPr>
            <w:tcW w:w="1750" w:type="dxa"/>
            <w:shd w:val="clear" w:color="auto" w:fill="C5E0B3" w:themeFill="accent6" w:themeFillTint="66"/>
            <w:vAlign w:val="center"/>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16.92</w:t>
            </w:r>
          </w:p>
        </w:tc>
        <w:tc>
          <w:tcPr>
            <w:tcW w:w="1425" w:type="dxa"/>
            <w:shd w:val="clear" w:color="auto" w:fill="C5E0B3" w:themeFill="accent6" w:themeFillTint="66"/>
            <w:vAlign w:val="center"/>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1.4%</w:t>
            </w:r>
          </w:p>
        </w:tc>
      </w:tr>
    </w:tbl>
    <w:p>
      <w:pPr>
        <w:widowControl w:val="0"/>
        <w:ind w:firstLine="643" w:firstLineChars="200"/>
        <w:rPr>
          <w:rFonts w:ascii="楷体" w:hAnsi="楷体" w:eastAsia="楷体" w:cs="楷体"/>
          <w:b/>
          <w:bCs/>
          <w:sz w:val="32"/>
          <w:szCs w:val="32"/>
        </w:rPr>
      </w:pPr>
      <w:bookmarkStart w:id="37" w:name="_Toc25098_WPSOffice_Level2"/>
      <w:bookmarkStart w:id="38" w:name="_Toc7305"/>
      <w:bookmarkStart w:id="39" w:name="_Toc12066_WPSOffice_Level2"/>
    </w:p>
    <w:p>
      <w:pPr>
        <w:widowControl w:val="0"/>
        <w:ind w:firstLine="643" w:firstLineChars="200"/>
        <w:rPr>
          <w:rFonts w:ascii="楷体" w:hAnsi="楷体" w:eastAsia="楷体" w:cs="楷体"/>
          <w:b/>
          <w:bCs/>
          <w:sz w:val="32"/>
          <w:szCs w:val="32"/>
        </w:rPr>
      </w:pPr>
      <w:r>
        <w:rPr>
          <w:rFonts w:hint="eastAsia" w:ascii="楷体" w:hAnsi="楷体" w:eastAsia="楷体" w:cs="楷体"/>
          <w:b/>
          <w:bCs/>
          <w:sz w:val="32"/>
          <w:szCs w:val="32"/>
        </w:rPr>
        <w:t>1.3教师队伍</w:t>
      </w:r>
      <w:bookmarkEnd w:id="37"/>
      <w:bookmarkEnd w:id="38"/>
      <w:bookmarkEnd w:id="39"/>
    </w:p>
    <w:p>
      <w:pPr>
        <w:widowControl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2020年，郑州市中等职业学校教职工9456人，生师比21.7:1，其中专任教师7100人，占教职工数的75.1%，专业课教师人数为3700人。我市省级双师型教师1748名，占专业课教师比例达到47.2%，师资队伍结构更加优化，师资队伍整体素质进一步提升。</w:t>
      </w:r>
    </w:p>
    <w:p>
      <w:pPr>
        <w:widowControl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从专任教师学历结构来看，具有研究生及以上学历的专任教师801人，较上一年减少了364人，占专任教师总数的11.3%；具有本科及以上学历的专任教师6121人，占专任教师总数的86.2%，是专任教师的主体；具有专科及以下学历的专任教师979人，占专任教师总数的13.8%。</w:t>
      </w:r>
    </w:p>
    <w:p>
      <w:pPr>
        <w:widowControl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从专业课教师职称结构来看，具有高级职称的专业课教师434人，占专业课教师总数的11.7%；具有中级职称的专业课教师比例最高，共1086人，占专业课教师总数的29.4%；具有初级职称的专业课教师995人，占专业课教师总数的26.9%；还未定职级的专业课教师1185人，占专业课教师总数的32.0%。</w:t>
      </w:r>
    </w:p>
    <w:p>
      <w:pPr>
        <w:widowControl w:val="0"/>
        <w:jc w:val="center"/>
        <w:rPr>
          <w:rFonts w:ascii="黑体" w:hAnsi="黑体" w:eastAsia="黑体"/>
          <w:sz w:val="28"/>
          <w:szCs w:val="28"/>
        </w:rPr>
      </w:pPr>
    </w:p>
    <w:p>
      <w:pPr>
        <w:widowControl w:val="0"/>
        <w:jc w:val="center"/>
        <w:rPr>
          <w:rFonts w:ascii="黑体" w:hAnsi="黑体" w:eastAsia="黑体"/>
          <w:sz w:val="24"/>
          <w:szCs w:val="24"/>
        </w:rPr>
      </w:pPr>
      <w:r>
        <w:rPr>
          <w:rFonts w:hint="eastAsia" w:ascii="黑体" w:hAnsi="黑体" w:eastAsia="黑体"/>
          <w:sz w:val="28"/>
          <w:szCs w:val="28"/>
        </w:rPr>
        <w:t>表1-6：2019—2020年 郑州市中等职业学校教师基本情况</w:t>
      </w:r>
      <w:r>
        <w:rPr>
          <w:rFonts w:hint="eastAsia" w:ascii="宋体" w:hAnsi="宋体" w:cs="宋体"/>
          <w:szCs w:val="21"/>
        </w:rPr>
        <w:t>（单位：人）</w:t>
      </w:r>
    </w:p>
    <w:tbl>
      <w:tblPr>
        <w:tblStyle w:val="14"/>
        <w:tblW w:w="8572" w:type="dxa"/>
        <w:tblInd w:w="1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
        <w:gridCol w:w="3646"/>
        <w:gridCol w:w="1312"/>
        <w:gridCol w:w="1333"/>
        <w:gridCol w:w="1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1" w:type="dxa"/>
            <w:shd w:val="clear" w:color="auto" w:fill="D9E2F3" w:themeFill="accent5" w:themeFillTint="33"/>
          </w:tcPr>
          <w:p>
            <w:pPr>
              <w:widowControl w:val="0"/>
              <w:spacing w:line="480" w:lineRule="auto"/>
              <w:jc w:val="center"/>
              <w:rPr>
                <w:rFonts w:ascii="黑体" w:hAnsi="黑体" w:eastAsia="黑体" w:cs="宋体"/>
                <w:sz w:val="24"/>
                <w:szCs w:val="24"/>
              </w:rPr>
            </w:pPr>
            <w:r>
              <w:rPr>
                <w:rFonts w:hint="eastAsia" w:ascii="黑体" w:hAnsi="黑体" w:eastAsia="黑体" w:cs="宋体"/>
                <w:sz w:val="24"/>
                <w:szCs w:val="24"/>
              </w:rPr>
              <w:t>序号</w:t>
            </w:r>
          </w:p>
        </w:tc>
        <w:tc>
          <w:tcPr>
            <w:tcW w:w="3646" w:type="dxa"/>
            <w:shd w:val="clear" w:color="auto" w:fill="D9E2F3" w:themeFill="accent5" w:themeFillTint="33"/>
          </w:tcPr>
          <w:p>
            <w:pPr>
              <w:widowControl w:val="0"/>
              <w:spacing w:line="480" w:lineRule="auto"/>
              <w:jc w:val="center"/>
              <w:rPr>
                <w:rFonts w:ascii="黑体" w:hAnsi="黑体" w:eastAsia="黑体" w:cs="宋体"/>
                <w:sz w:val="24"/>
                <w:szCs w:val="24"/>
              </w:rPr>
            </w:pPr>
            <w:r>
              <w:rPr>
                <w:rFonts w:hint="eastAsia" w:ascii="黑体" w:hAnsi="黑体" w:eastAsia="黑体" w:cs="宋体"/>
                <w:sz w:val="24"/>
                <w:szCs w:val="24"/>
              </w:rPr>
              <w:t>项  目</w:t>
            </w:r>
          </w:p>
        </w:tc>
        <w:tc>
          <w:tcPr>
            <w:tcW w:w="1312" w:type="dxa"/>
            <w:shd w:val="clear" w:color="auto" w:fill="D9E2F3" w:themeFill="accent5" w:themeFillTint="33"/>
            <w:vAlign w:val="center"/>
          </w:tcPr>
          <w:p>
            <w:pPr>
              <w:widowControl w:val="0"/>
              <w:spacing w:line="480" w:lineRule="auto"/>
              <w:jc w:val="center"/>
              <w:rPr>
                <w:rFonts w:ascii="黑体" w:hAnsi="黑体" w:eastAsia="黑体" w:cs="宋体"/>
                <w:kern w:val="0"/>
                <w:sz w:val="24"/>
                <w:szCs w:val="24"/>
                <w:lang w:bidi="ar"/>
              </w:rPr>
            </w:pPr>
            <w:r>
              <w:rPr>
                <w:rFonts w:hint="eastAsia" w:ascii="黑体" w:hAnsi="黑体" w:eastAsia="黑体" w:cs="宋体"/>
                <w:kern w:val="0"/>
                <w:sz w:val="24"/>
                <w:szCs w:val="24"/>
                <w:lang w:bidi="ar"/>
              </w:rPr>
              <w:t>2019年</w:t>
            </w:r>
          </w:p>
        </w:tc>
        <w:tc>
          <w:tcPr>
            <w:tcW w:w="1333" w:type="dxa"/>
            <w:shd w:val="clear" w:color="auto" w:fill="D9E2F3" w:themeFill="accent5" w:themeFillTint="33"/>
            <w:vAlign w:val="center"/>
          </w:tcPr>
          <w:p>
            <w:pPr>
              <w:widowControl w:val="0"/>
              <w:spacing w:line="480" w:lineRule="auto"/>
              <w:jc w:val="center"/>
              <w:rPr>
                <w:rFonts w:ascii="黑体" w:hAnsi="黑体" w:eastAsia="黑体" w:cs="宋体"/>
                <w:sz w:val="24"/>
                <w:szCs w:val="24"/>
              </w:rPr>
            </w:pPr>
            <w:r>
              <w:rPr>
                <w:rFonts w:hint="eastAsia" w:ascii="黑体" w:hAnsi="黑体" w:eastAsia="黑体" w:cs="宋体"/>
                <w:sz w:val="24"/>
                <w:szCs w:val="24"/>
              </w:rPr>
              <w:t>2020年</w:t>
            </w:r>
          </w:p>
        </w:tc>
        <w:tc>
          <w:tcPr>
            <w:tcW w:w="1320" w:type="dxa"/>
            <w:shd w:val="clear" w:color="auto" w:fill="D9E2F3" w:themeFill="accent5" w:themeFillTint="33"/>
            <w:vAlign w:val="center"/>
          </w:tcPr>
          <w:p>
            <w:pPr>
              <w:widowControl w:val="0"/>
              <w:spacing w:line="480" w:lineRule="auto"/>
              <w:jc w:val="center"/>
              <w:rPr>
                <w:rFonts w:ascii="黑体" w:hAnsi="黑体" w:eastAsia="黑体" w:cs="宋体"/>
                <w:kern w:val="0"/>
                <w:sz w:val="24"/>
                <w:szCs w:val="24"/>
                <w:lang w:bidi="ar"/>
              </w:rPr>
            </w:pPr>
            <w:r>
              <w:rPr>
                <w:rFonts w:hint="eastAsia" w:ascii="黑体" w:hAnsi="黑体" w:eastAsia="黑体" w:cs="宋体"/>
                <w:kern w:val="0"/>
                <w:sz w:val="24"/>
                <w:szCs w:val="24"/>
                <w:lang w:bidi="ar"/>
              </w:rPr>
              <w:t>增长率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1" w:type="dxa"/>
            <w:shd w:val="clear" w:color="auto" w:fill="D9E2F3" w:themeFill="accent5" w:themeFillTint="33"/>
            <w:vAlign w:val="center"/>
          </w:tcPr>
          <w:p>
            <w:pPr>
              <w:widowControl w:val="0"/>
              <w:spacing w:line="480" w:lineRule="auto"/>
              <w:jc w:val="center"/>
              <w:rPr>
                <w:rFonts w:ascii="黑体" w:hAnsi="黑体" w:eastAsia="黑体" w:cstheme="majorEastAsia"/>
                <w:sz w:val="24"/>
                <w:szCs w:val="24"/>
              </w:rPr>
            </w:pPr>
            <w:r>
              <w:rPr>
                <w:rFonts w:hint="eastAsia" w:ascii="黑体" w:hAnsi="黑体" w:eastAsia="黑体" w:cstheme="majorEastAsia"/>
                <w:sz w:val="24"/>
                <w:szCs w:val="24"/>
              </w:rPr>
              <w:t>1</w:t>
            </w:r>
          </w:p>
        </w:tc>
        <w:tc>
          <w:tcPr>
            <w:tcW w:w="3646" w:type="dxa"/>
            <w:shd w:val="clear" w:color="auto" w:fill="C5E0B3" w:themeFill="accent6" w:themeFillTint="66"/>
          </w:tcPr>
          <w:p>
            <w:pPr>
              <w:widowControl w:val="0"/>
              <w:spacing w:line="480" w:lineRule="auto"/>
              <w:rPr>
                <w:rFonts w:ascii="宋体" w:hAnsi="宋体" w:cs="宋体"/>
                <w:sz w:val="24"/>
                <w:szCs w:val="24"/>
              </w:rPr>
            </w:pPr>
            <w:r>
              <w:rPr>
                <w:rFonts w:hint="eastAsia" w:ascii="宋体" w:hAnsi="宋体" w:cs="宋体"/>
                <w:sz w:val="24"/>
                <w:szCs w:val="24"/>
              </w:rPr>
              <w:t>教职工总数</w:t>
            </w:r>
          </w:p>
        </w:tc>
        <w:tc>
          <w:tcPr>
            <w:tcW w:w="1312" w:type="dxa"/>
            <w:shd w:val="clear" w:color="auto" w:fill="C5E0B3" w:themeFill="accent6" w:themeFillTint="66"/>
            <w:vAlign w:val="center"/>
          </w:tcPr>
          <w:p>
            <w:pPr>
              <w:widowControl w:val="0"/>
              <w:spacing w:line="480" w:lineRule="auto"/>
              <w:jc w:val="center"/>
              <w:rPr>
                <w:rFonts w:ascii="宋体" w:hAnsi="宋体" w:cs="宋体"/>
                <w:sz w:val="24"/>
                <w:szCs w:val="24"/>
              </w:rPr>
            </w:pPr>
            <w:r>
              <w:rPr>
                <w:rFonts w:hint="eastAsia" w:ascii="宋体" w:hAnsi="宋体" w:cs="宋体"/>
                <w:sz w:val="24"/>
                <w:szCs w:val="24"/>
              </w:rPr>
              <w:t>10139</w:t>
            </w:r>
          </w:p>
        </w:tc>
        <w:tc>
          <w:tcPr>
            <w:tcW w:w="1333" w:type="dxa"/>
            <w:shd w:val="clear" w:color="auto" w:fill="C5E0B3" w:themeFill="accent6" w:themeFillTint="66"/>
            <w:vAlign w:val="center"/>
          </w:tcPr>
          <w:p>
            <w:pPr>
              <w:widowControl w:val="0"/>
              <w:spacing w:line="480" w:lineRule="auto"/>
              <w:jc w:val="center"/>
              <w:rPr>
                <w:rFonts w:ascii="宋体" w:hAnsi="宋体" w:cs="宋体"/>
                <w:sz w:val="24"/>
                <w:szCs w:val="24"/>
              </w:rPr>
            </w:pPr>
            <w:r>
              <w:rPr>
                <w:rFonts w:hint="eastAsia" w:ascii="宋体" w:hAnsi="宋体" w:cs="宋体"/>
                <w:sz w:val="24"/>
                <w:szCs w:val="24"/>
              </w:rPr>
              <w:t>9456</w:t>
            </w:r>
          </w:p>
        </w:tc>
        <w:tc>
          <w:tcPr>
            <w:tcW w:w="1320" w:type="dxa"/>
            <w:shd w:val="clear" w:color="auto" w:fill="C5E0B3" w:themeFill="accent6" w:themeFillTint="66"/>
            <w:vAlign w:val="center"/>
          </w:tcPr>
          <w:p>
            <w:pPr>
              <w:widowControl w:val="0"/>
              <w:spacing w:line="480" w:lineRule="auto"/>
              <w:jc w:val="center"/>
              <w:rPr>
                <w:rFonts w:ascii="宋体" w:hAnsi="宋体" w:cs="宋体"/>
                <w:sz w:val="24"/>
                <w:szCs w:val="24"/>
              </w:rPr>
            </w:pPr>
            <w:r>
              <w:rPr>
                <w:rFonts w:hint="eastAsia" w:ascii="宋体" w:hAnsi="宋体" w:cs="宋体"/>
                <w:sz w:val="24"/>
                <w:szCs w:val="24"/>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1" w:type="dxa"/>
            <w:shd w:val="clear" w:color="auto" w:fill="D9E2F3" w:themeFill="accent5" w:themeFillTint="33"/>
            <w:vAlign w:val="center"/>
          </w:tcPr>
          <w:p>
            <w:pPr>
              <w:widowControl w:val="0"/>
              <w:spacing w:line="480" w:lineRule="auto"/>
              <w:jc w:val="center"/>
              <w:rPr>
                <w:rFonts w:ascii="黑体" w:hAnsi="黑体" w:eastAsia="黑体" w:cstheme="majorEastAsia"/>
                <w:sz w:val="24"/>
                <w:szCs w:val="24"/>
              </w:rPr>
            </w:pPr>
            <w:r>
              <w:rPr>
                <w:rFonts w:hint="eastAsia" w:ascii="黑体" w:hAnsi="黑体" w:eastAsia="黑体" w:cstheme="majorEastAsia"/>
                <w:sz w:val="24"/>
                <w:szCs w:val="24"/>
              </w:rPr>
              <w:t>2</w:t>
            </w:r>
          </w:p>
        </w:tc>
        <w:tc>
          <w:tcPr>
            <w:tcW w:w="3646" w:type="dxa"/>
            <w:shd w:val="clear" w:color="auto" w:fill="C5E0B3" w:themeFill="accent6" w:themeFillTint="66"/>
          </w:tcPr>
          <w:p>
            <w:pPr>
              <w:widowControl w:val="0"/>
              <w:spacing w:line="480" w:lineRule="auto"/>
              <w:rPr>
                <w:rFonts w:ascii="宋体" w:hAnsi="宋体" w:cs="宋体"/>
                <w:sz w:val="24"/>
                <w:szCs w:val="24"/>
              </w:rPr>
            </w:pPr>
            <w:r>
              <w:rPr>
                <w:rFonts w:hint="eastAsia" w:ascii="宋体" w:hAnsi="宋体" w:cs="宋体"/>
                <w:sz w:val="24"/>
                <w:szCs w:val="24"/>
              </w:rPr>
              <w:t>生师比</w:t>
            </w:r>
          </w:p>
        </w:tc>
        <w:tc>
          <w:tcPr>
            <w:tcW w:w="1312" w:type="dxa"/>
            <w:shd w:val="clear" w:color="auto" w:fill="C5E0B3" w:themeFill="accent6" w:themeFillTint="66"/>
            <w:vAlign w:val="center"/>
          </w:tcPr>
          <w:p>
            <w:pPr>
              <w:widowControl w:val="0"/>
              <w:spacing w:line="480" w:lineRule="auto"/>
              <w:jc w:val="center"/>
              <w:rPr>
                <w:rFonts w:ascii="宋体" w:hAnsi="宋体" w:cs="宋体"/>
                <w:sz w:val="24"/>
                <w:szCs w:val="24"/>
              </w:rPr>
            </w:pPr>
            <w:r>
              <w:rPr>
                <w:rFonts w:hint="eastAsia" w:ascii="宋体" w:hAnsi="宋体" w:cs="宋体"/>
                <w:sz w:val="24"/>
                <w:szCs w:val="24"/>
              </w:rPr>
              <w:t>19.94:1</w:t>
            </w:r>
          </w:p>
        </w:tc>
        <w:tc>
          <w:tcPr>
            <w:tcW w:w="1333" w:type="dxa"/>
            <w:shd w:val="clear" w:color="auto" w:fill="C5E0B3" w:themeFill="accent6" w:themeFillTint="66"/>
            <w:vAlign w:val="center"/>
          </w:tcPr>
          <w:p>
            <w:pPr>
              <w:widowControl w:val="0"/>
              <w:spacing w:line="480" w:lineRule="auto"/>
              <w:jc w:val="center"/>
              <w:rPr>
                <w:rFonts w:ascii="宋体" w:hAnsi="宋体" w:cs="宋体"/>
                <w:sz w:val="24"/>
                <w:szCs w:val="24"/>
              </w:rPr>
            </w:pPr>
            <w:r>
              <w:rPr>
                <w:rFonts w:hint="eastAsia" w:ascii="宋体" w:hAnsi="宋体" w:cs="宋体"/>
                <w:sz w:val="24"/>
                <w:szCs w:val="24"/>
              </w:rPr>
              <w:t>21.70:1</w:t>
            </w:r>
          </w:p>
        </w:tc>
        <w:tc>
          <w:tcPr>
            <w:tcW w:w="1320" w:type="dxa"/>
            <w:shd w:val="clear" w:color="auto" w:fill="C5E0B3" w:themeFill="accent6" w:themeFillTint="66"/>
            <w:vAlign w:val="center"/>
          </w:tcPr>
          <w:p>
            <w:pPr>
              <w:widowControl w:val="0"/>
              <w:spacing w:line="480" w:lineRule="auto"/>
              <w:jc w:val="center"/>
              <w:rPr>
                <w:rFonts w:ascii="宋体" w:hAnsi="宋体" w:cs="宋体"/>
                <w:sz w:val="24"/>
                <w:szCs w:val="24"/>
              </w:rPr>
            </w:pPr>
            <w:r>
              <w:rPr>
                <w:rFonts w:hint="eastAsia" w:ascii="宋体" w:hAnsi="宋体" w:cs="宋体"/>
                <w:sz w:val="24"/>
                <w:szCs w:val="24"/>
              </w:rPr>
              <w:t>升高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shd w:val="clear" w:color="auto" w:fill="D9E2F3" w:themeFill="accent5" w:themeFillTint="33"/>
            <w:vAlign w:val="center"/>
          </w:tcPr>
          <w:p>
            <w:pPr>
              <w:widowControl w:val="0"/>
              <w:spacing w:line="480" w:lineRule="auto"/>
              <w:jc w:val="center"/>
              <w:rPr>
                <w:rFonts w:ascii="黑体" w:hAnsi="黑体" w:eastAsia="黑体" w:cstheme="majorEastAsia"/>
                <w:sz w:val="24"/>
                <w:szCs w:val="24"/>
              </w:rPr>
            </w:pPr>
            <w:r>
              <w:rPr>
                <w:rFonts w:hint="eastAsia" w:ascii="黑体" w:hAnsi="黑体" w:eastAsia="黑体" w:cstheme="majorEastAsia"/>
                <w:sz w:val="24"/>
                <w:szCs w:val="24"/>
              </w:rPr>
              <w:t>3</w:t>
            </w:r>
          </w:p>
        </w:tc>
        <w:tc>
          <w:tcPr>
            <w:tcW w:w="3646" w:type="dxa"/>
            <w:shd w:val="clear" w:color="auto" w:fill="C5E0B3" w:themeFill="accent6" w:themeFillTint="66"/>
          </w:tcPr>
          <w:p>
            <w:pPr>
              <w:widowControl w:val="0"/>
              <w:spacing w:line="480" w:lineRule="auto"/>
              <w:rPr>
                <w:rFonts w:ascii="宋体" w:hAnsi="宋体" w:cs="宋体"/>
                <w:sz w:val="24"/>
                <w:szCs w:val="24"/>
              </w:rPr>
            </w:pPr>
            <w:r>
              <w:rPr>
                <w:rFonts w:hint="eastAsia" w:ascii="宋体" w:hAnsi="宋体" w:cs="宋体"/>
                <w:sz w:val="24"/>
                <w:szCs w:val="24"/>
              </w:rPr>
              <w:t>专任教师数</w:t>
            </w:r>
          </w:p>
        </w:tc>
        <w:tc>
          <w:tcPr>
            <w:tcW w:w="1312" w:type="dxa"/>
            <w:shd w:val="clear" w:color="auto" w:fill="C5E0B3" w:themeFill="accent6" w:themeFillTint="66"/>
            <w:vAlign w:val="center"/>
          </w:tcPr>
          <w:p>
            <w:pPr>
              <w:widowControl w:val="0"/>
              <w:spacing w:line="480" w:lineRule="auto"/>
              <w:jc w:val="center"/>
              <w:rPr>
                <w:rFonts w:ascii="宋体" w:hAnsi="宋体" w:cs="宋体"/>
                <w:sz w:val="24"/>
                <w:szCs w:val="24"/>
              </w:rPr>
            </w:pPr>
            <w:r>
              <w:rPr>
                <w:rFonts w:hint="eastAsia" w:ascii="宋体" w:hAnsi="宋体" w:cs="宋体"/>
                <w:sz w:val="24"/>
                <w:szCs w:val="24"/>
              </w:rPr>
              <w:t>7480</w:t>
            </w:r>
          </w:p>
        </w:tc>
        <w:tc>
          <w:tcPr>
            <w:tcW w:w="1333" w:type="dxa"/>
            <w:shd w:val="clear" w:color="auto" w:fill="C5E0B3" w:themeFill="accent6" w:themeFillTint="66"/>
            <w:vAlign w:val="center"/>
          </w:tcPr>
          <w:p>
            <w:pPr>
              <w:widowControl w:val="0"/>
              <w:spacing w:line="480" w:lineRule="auto"/>
              <w:jc w:val="center"/>
              <w:rPr>
                <w:rFonts w:ascii="宋体" w:hAnsi="宋体" w:cs="宋体"/>
                <w:sz w:val="24"/>
                <w:szCs w:val="24"/>
              </w:rPr>
            </w:pPr>
            <w:r>
              <w:rPr>
                <w:rFonts w:hint="eastAsia" w:ascii="宋体" w:hAnsi="宋体" w:cs="宋体"/>
                <w:sz w:val="24"/>
                <w:szCs w:val="24"/>
              </w:rPr>
              <w:t>7100</w:t>
            </w:r>
          </w:p>
        </w:tc>
        <w:tc>
          <w:tcPr>
            <w:tcW w:w="1320" w:type="dxa"/>
            <w:shd w:val="clear" w:color="auto" w:fill="C5E0B3" w:themeFill="accent6" w:themeFillTint="66"/>
            <w:vAlign w:val="center"/>
          </w:tcPr>
          <w:p>
            <w:pPr>
              <w:widowControl w:val="0"/>
              <w:spacing w:line="480" w:lineRule="auto"/>
              <w:jc w:val="center"/>
              <w:rPr>
                <w:rFonts w:ascii="宋体" w:hAnsi="宋体" w:cs="宋体"/>
                <w:sz w:val="24"/>
                <w:szCs w:val="24"/>
              </w:rPr>
            </w:pPr>
            <w:r>
              <w:rPr>
                <w:rFonts w:hint="eastAsia" w:ascii="宋体" w:hAnsi="宋体" w:cs="宋体"/>
                <w:sz w:val="24"/>
                <w:szCs w:val="24"/>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shd w:val="clear" w:color="auto" w:fill="D9E2F3" w:themeFill="accent5" w:themeFillTint="33"/>
            <w:vAlign w:val="center"/>
          </w:tcPr>
          <w:p>
            <w:pPr>
              <w:widowControl w:val="0"/>
              <w:spacing w:line="480" w:lineRule="auto"/>
              <w:jc w:val="center"/>
              <w:rPr>
                <w:rFonts w:ascii="黑体" w:hAnsi="黑体" w:eastAsia="黑体" w:cstheme="majorEastAsia"/>
                <w:sz w:val="24"/>
                <w:szCs w:val="24"/>
              </w:rPr>
            </w:pPr>
            <w:r>
              <w:rPr>
                <w:rFonts w:hint="eastAsia" w:ascii="黑体" w:hAnsi="黑体" w:eastAsia="黑体" w:cstheme="majorEastAsia"/>
                <w:sz w:val="24"/>
                <w:szCs w:val="24"/>
              </w:rPr>
              <w:t>4</w:t>
            </w:r>
          </w:p>
        </w:tc>
        <w:tc>
          <w:tcPr>
            <w:tcW w:w="3646" w:type="dxa"/>
            <w:shd w:val="clear" w:color="auto" w:fill="C5E0B3" w:themeFill="accent6" w:themeFillTint="66"/>
          </w:tcPr>
          <w:p>
            <w:pPr>
              <w:widowControl w:val="0"/>
              <w:spacing w:line="480" w:lineRule="auto"/>
              <w:rPr>
                <w:rFonts w:ascii="宋体" w:hAnsi="宋体" w:cs="宋体"/>
                <w:sz w:val="24"/>
                <w:szCs w:val="24"/>
              </w:rPr>
            </w:pPr>
            <w:r>
              <w:rPr>
                <w:rFonts w:hint="eastAsia" w:ascii="宋体" w:hAnsi="宋体" w:cs="宋体"/>
                <w:sz w:val="24"/>
                <w:szCs w:val="24"/>
              </w:rPr>
              <w:t>专业课教师数</w:t>
            </w:r>
          </w:p>
        </w:tc>
        <w:tc>
          <w:tcPr>
            <w:tcW w:w="1312" w:type="dxa"/>
            <w:shd w:val="clear" w:color="auto" w:fill="C5E0B3" w:themeFill="accent6" w:themeFillTint="66"/>
            <w:vAlign w:val="center"/>
          </w:tcPr>
          <w:p>
            <w:pPr>
              <w:widowControl w:val="0"/>
              <w:spacing w:line="480" w:lineRule="auto"/>
              <w:jc w:val="center"/>
              <w:rPr>
                <w:rFonts w:ascii="宋体" w:hAnsi="宋体" w:cs="宋体"/>
                <w:sz w:val="24"/>
                <w:szCs w:val="24"/>
              </w:rPr>
            </w:pPr>
            <w:r>
              <w:rPr>
                <w:rFonts w:hint="eastAsia" w:ascii="宋体" w:hAnsi="宋体" w:cs="宋体"/>
                <w:sz w:val="24"/>
                <w:szCs w:val="24"/>
              </w:rPr>
              <w:t>3903</w:t>
            </w:r>
          </w:p>
        </w:tc>
        <w:tc>
          <w:tcPr>
            <w:tcW w:w="1333" w:type="dxa"/>
            <w:shd w:val="clear" w:color="auto" w:fill="C5E0B3" w:themeFill="accent6" w:themeFillTint="66"/>
            <w:vAlign w:val="center"/>
          </w:tcPr>
          <w:p>
            <w:pPr>
              <w:widowControl w:val="0"/>
              <w:spacing w:line="480" w:lineRule="auto"/>
              <w:jc w:val="center"/>
              <w:rPr>
                <w:rFonts w:ascii="宋体" w:hAnsi="宋体" w:cs="宋体"/>
                <w:sz w:val="24"/>
                <w:szCs w:val="24"/>
              </w:rPr>
            </w:pPr>
            <w:r>
              <w:rPr>
                <w:rFonts w:hint="eastAsia" w:ascii="宋体" w:hAnsi="宋体" w:cs="宋体"/>
                <w:sz w:val="24"/>
                <w:szCs w:val="24"/>
              </w:rPr>
              <w:t>3700</w:t>
            </w:r>
          </w:p>
        </w:tc>
        <w:tc>
          <w:tcPr>
            <w:tcW w:w="1320" w:type="dxa"/>
            <w:shd w:val="clear" w:color="auto" w:fill="C5E0B3" w:themeFill="accent6" w:themeFillTint="66"/>
            <w:vAlign w:val="center"/>
          </w:tcPr>
          <w:p>
            <w:pPr>
              <w:widowControl w:val="0"/>
              <w:spacing w:line="480" w:lineRule="auto"/>
              <w:jc w:val="center"/>
              <w:rPr>
                <w:rFonts w:ascii="宋体" w:hAnsi="宋体" w:cs="宋体"/>
                <w:sz w:val="24"/>
                <w:szCs w:val="24"/>
              </w:rPr>
            </w:pPr>
            <w:r>
              <w:rPr>
                <w:rFonts w:hint="eastAsia" w:ascii="宋体" w:hAnsi="宋体" w:cs="宋体"/>
                <w:sz w:val="24"/>
                <w:szCs w:val="24"/>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shd w:val="clear" w:color="auto" w:fill="D9E2F3" w:themeFill="accent5" w:themeFillTint="33"/>
            <w:vAlign w:val="center"/>
          </w:tcPr>
          <w:p>
            <w:pPr>
              <w:widowControl w:val="0"/>
              <w:spacing w:line="480" w:lineRule="auto"/>
              <w:jc w:val="center"/>
              <w:rPr>
                <w:rFonts w:ascii="黑体" w:hAnsi="黑体" w:eastAsia="黑体" w:cstheme="majorEastAsia"/>
                <w:sz w:val="24"/>
                <w:szCs w:val="24"/>
              </w:rPr>
            </w:pPr>
            <w:r>
              <w:rPr>
                <w:rFonts w:hint="eastAsia" w:ascii="黑体" w:hAnsi="黑体" w:eastAsia="黑体" w:cstheme="majorEastAsia"/>
                <w:sz w:val="24"/>
                <w:szCs w:val="24"/>
              </w:rPr>
              <w:t>5</w:t>
            </w:r>
          </w:p>
        </w:tc>
        <w:tc>
          <w:tcPr>
            <w:tcW w:w="3646" w:type="dxa"/>
            <w:shd w:val="clear" w:color="auto" w:fill="C5E0B3" w:themeFill="accent6" w:themeFillTint="66"/>
          </w:tcPr>
          <w:p>
            <w:pPr>
              <w:widowControl w:val="0"/>
              <w:spacing w:line="480" w:lineRule="auto"/>
              <w:rPr>
                <w:rFonts w:ascii="宋体" w:hAnsi="宋体" w:cs="宋体"/>
                <w:sz w:val="24"/>
                <w:szCs w:val="24"/>
              </w:rPr>
            </w:pPr>
            <w:r>
              <w:rPr>
                <w:rFonts w:hint="eastAsia" w:ascii="宋体" w:hAnsi="宋体" w:cs="宋体"/>
                <w:sz w:val="24"/>
                <w:szCs w:val="24"/>
              </w:rPr>
              <w:t>省级“双师型”教师数</w:t>
            </w:r>
          </w:p>
        </w:tc>
        <w:tc>
          <w:tcPr>
            <w:tcW w:w="1312" w:type="dxa"/>
            <w:shd w:val="clear" w:color="auto" w:fill="C5E0B3" w:themeFill="accent6" w:themeFillTint="66"/>
            <w:vAlign w:val="center"/>
          </w:tcPr>
          <w:p>
            <w:pPr>
              <w:widowControl w:val="0"/>
              <w:spacing w:line="480" w:lineRule="auto"/>
              <w:jc w:val="center"/>
              <w:rPr>
                <w:rFonts w:ascii="宋体" w:hAnsi="宋体" w:cs="宋体"/>
                <w:sz w:val="24"/>
                <w:szCs w:val="24"/>
              </w:rPr>
            </w:pPr>
            <w:r>
              <w:rPr>
                <w:rFonts w:hint="eastAsia" w:ascii="宋体" w:hAnsi="宋体" w:cs="宋体"/>
                <w:sz w:val="24"/>
                <w:szCs w:val="24"/>
              </w:rPr>
              <w:t>1471</w:t>
            </w:r>
          </w:p>
        </w:tc>
        <w:tc>
          <w:tcPr>
            <w:tcW w:w="1333" w:type="dxa"/>
            <w:shd w:val="clear" w:color="auto" w:fill="C5E0B3" w:themeFill="accent6" w:themeFillTint="66"/>
            <w:vAlign w:val="center"/>
          </w:tcPr>
          <w:p>
            <w:pPr>
              <w:widowControl w:val="0"/>
              <w:spacing w:line="480" w:lineRule="auto"/>
              <w:jc w:val="center"/>
              <w:rPr>
                <w:rFonts w:ascii="宋体" w:hAnsi="宋体" w:cs="宋体"/>
                <w:sz w:val="24"/>
                <w:szCs w:val="24"/>
              </w:rPr>
            </w:pPr>
            <w:r>
              <w:rPr>
                <w:rFonts w:hint="eastAsia" w:ascii="宋体" w:hAnsi="宋体" w:cs="宋体"/>
                <w:sz w:val="24"/>
                <w:szCs w:val="24"/>
              </w:rPr>
              <w:t>1748</w:t>
            </w:r>
          </w:p>
        </w:tc>
        <w:tc>
          <w:tcPr>
            <w:tcW w:w="1320" w:type="dxa"/>
            <w:shd w:val="clear" w:color="auto" w:fill="C5E0B3" w:themeFill="accent6" w:themeFillTint="66"/>
            <w:vAlign w:val="center"/>
          </w:tcPr>
          <w:p>
            <w:pPr>
              <w:widowControl w:val="0"/>
              <w:spacing w:line="480" w:lineRule="auto"/>
              <w:jc w:val="center"/>
              <w:rPr>
                <w:rFonts w:ascii="宋体" w:hAnsi="宋体" w:cs="宋体"/>
                <w:sz w:val="24"/>
                <w:szCs w:val="24"/>
              </w:rPr>
            </w:pPr>
            <w:r>
              <w:rPr>
                <w:rFonts w:hint="eastAsia" w:ascii="宋体" w:hAnsi="宋体" w:cs="宋体"/>
                <w:sz w:val="24"/>
                <w:szCs w:val="24"/>
              </w:rPr>
              <w: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shd w:val="clear" w:color="auto" w:fill="D9E2F3" w:themeFill="accent5" w:themeFillTint="33"/>
            <w:vAlign w:val="center"/>
          </w:tcPr>
          <w:p>
            <w:pPr>
              <w:widowControl w:val="0"/>
              <w:spacing w:line="480" w:lineRule="auto"/>
              <w:jc w:val="center"/>
              <w:rPr>
                <w:rFonts w:ascii="黑体" w:hAnsi="黑体" w:eastAsia="黑体" w:cstheme="majorEastAsia"/>
                <w:sz w:val="24"/>
                <w:szCs w:val="24"/>
              </w:rPr>
            </w:pPr>
            <w:r>
              <w:rPr>
                <w:rFonts w:hint="eastAsia" w:ascii="黑体" w:hAnsi="黑体" w:eastAsia="黑体" w:cstheme="majorEastAsia"/>
                <w:sz w:val="24"/>
                <w:szCs w:val="24"/>
              </w:rPr>
              <w:t>6</w:t>
            </w:r>
          </w:p>
        </w:tc>
        <w:tc>
          <w:tcPr>
            <w:tcW w:w="3646" w:type="dxa"/>
            <w:shd w:val="clear" w:color="auto" w:fill="C5E0B3" w:themeFill="accent6" w:themeFillTint="66"/>
          </w:tcPr>
          <w:p>
            <w:pPr>
              <w:widowControl w:val="0"/>
              <w:spacing w:line="480" w:lineRule="auto"/>
              <w:rPr>
                <w:rFonts w:ascii="宋体" w:hAnsi="宋体" w:cs="宋体"/>
                <w:sz w:val="24"/>
                <w:szCs w:val="24"/>
              </w:rPr>
            </w:pPr>
            <w:r>
              <w:rPr>
                <w:rFonts w:hint="eastAsia" w:ascii="宋体" w:hAnsi="宋体" w:cs="宋体"/>
                <w:sz w:val="24"/>
                <w:szCs w:val="24"/>
              </w:rPr>
              <w:t>研究生及以上学历专任教师数</w:t>
            </w:r>
          </w:p>
        </w:tc>
        <w:tc>
          <w:tcPr>
            <w:tcW w:w="1312" w:type="dxa"/>
            <w:shd w:val="clear" w:color="auto" w:fill="C5E0B3" w:themeFill="accent6" w:themeFillTint="66"/>
            <w:vAlign w:val="center"/>
          </w:tcPr>
          <w:p>
            <w:pPr>
              <w:widowControl w:val="0"/>
              <w:spacing w:line="480" w:lineRule="auto"/>
              <w:jc w:val="center"/>
              <w:rPr>
                <w:rFonts w:ascii="宋体" w:hAnsi="宋体" w:cs="宋体"/>
                <w:sz w:val="24"/>
                <w:szCs w:val="24"/>
              </w:rPr>
            </w:pPr>
            <w:r>
              <w:rPr>
                <w:rFonts w:hint="eastAsia" w:ascii="宋体" w:hAnsi="宋体" w:cs="宋体"/>
                <w:sz w:val="24"/>
                <w:szCs w:val="24"/>
              </w:rPr>
              <w:t>1165</w:t>
            </w:r>
          </w:p>
        </w:tc>
        <w:tc>
          <w:tcPr>
            <w:tcW w:w="1333" w:type="dxa"/>
            <w:shd w:val="clear" w:color="auto" w:fill="C5E0B3" w:themeFill="accent6" w:themeFillTint="66"/>
          </w:tcPr>
          <w:p>
            <w:pPr>
              <w:widowControl w:val="0"/>
              <w:spacing w:line="480" w:lineRule="auto"/>
              <w:jc w:val="center"/>
              <w:rPr>
                <w:rFonts w:ascii="宋体" w:hAnsi="宋体" w:cs="宋体"/>
                <w:sz w:val="24"/>
                <w:szCs w:val="24"/>
              </w:rPr>
            </w:pPr>
            <w:r>
              <w:rPr>
                <w:rFonts w:hint="eastAsia" w:ascii="宋体" w:hAnsi="宋体" w:cs="宋体"/>
                <w:sz w:val="24"/>
                <w:szCs w:val="24"/>
              </w:rPr>
              <w:t>801</w:t>
            </w:r>
          </w:p>
        </w:tc>
        <w:tc>
          <w:tcPr>
            <w:tcW w:w="1320" w:type="dxa"/>
            <w:shd w:val="clear" w:color="auto" w:fill="C5E0B3" w:themeFill="accent6" w:themeFillTint="66"/>
            <w:vAlign w:val="center"/>
          </w:tcPr>
          <w:p>
            <w:pPr>
              <w:widowControl w:val="0"/>
              <w:spacing w:line="480" w:lineRule="auto"/>
              <w:jc w:val="center"/>
              <w:rPr>
                <w:rFonts w:ascii="宋体" w:hAnsi="宋体" w:cs="宋体"/>
                <w:sz w:val="24"/>
                <w:szCs w:val="24"/>
              </w:rPr>
            </w:pPr>
            <w:r>
              <w:rPr>
                <w:rFonts w:hint="eastAsia" w:ascii="宋体" w:hAnsi="宋体" w:cs="宋体"/>
                <w:sz w:val="24"/>
                <w:szCs w:val="24"/>
              </w:rPr>
              <w:t>-31.2%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shd w:val="clear" w:color="auto" w:fill="D9E2F3" w:themeFill="accent5" w:themeFillTint="33"/>
            <w:vAlign w:val="center"/>
          </w:tcPr>
          <w:p>
            <w:pPr>
              <w:widowControl w:val="0"/>
              <w:spacing w:line="480" w:lineRule="auto"/>
              <w:jc w:val="center"/>
              <w:rPr>
                <w:rFonts w:ascii="黑体" w:hAnsi="黑体" w:eastAsia="黑体" w:cstheme="majorEastAsia"/>
                <w:sz w:val="24"/>
                <w:szCs w:val="24"/>
              </w:rPr>
            </w:pPr>
            <w:r>
              <w:rPr>
                <w:rFonts w:hint="eastAsia" w:ascii="黑体" w:hAnsi="黑体" w:eastAsia="黑体" w:cstheme="majorEastAsia"/>
                <w:sz w:val="24"/>
                <w:szCs w:val="24"/>
              </w:rPr>
              <w:t>7</w:t>
            </w:r>
          </w:p>
        </w:tc>
        <w:tc>
          <w:tcPr>
            <w:tcW w:w="3646" w:type="dxa"/>
            <w:shd w:val="clear" w:color="auto" w:fill="C5E0B3" w:themeFill="accent6" w:themeFillTint="66"/>
          </w:tcPr>
          <w:p>
            <w:pPr>
              <w:widowControl w:val="0"/>
              <w:spacing w:line="480" w:lineRule="auto"/>
              <w:rPr>
                <w:rFonts w:ascii="宋体" w:hAnsi="宋体" w:cs="宋体"/>
                <w:sz w:val="24"/>
                <w:szCs w:val="24"/>
              </w:rPr>
            </w:pPr>
            <w:r>
              <w:rPr>
                <w:rFonts w:hint="eastAsia" w:ascii="宋体" w:hAnsi="宋体" w:cs="宋体"/>
                <w:sz w:val="24"/>
                <w:szCs w:val="24"/>
              </w:rPr>
              <w:t>本科学历专任教师数</w:t>
            </w:r>
          </w:p>
        </w:tc>
        <w:tc>
          <w:tcPr>
            <w:tcW w:w="1312" w:type="dxa"/>
            <w:shd w:val="clear" w:color="auto" w:fill="C5E0B3" w:themeFill="accent6" w:themeFillTint="66"/>
            <w:vAlign w:val="center"/>
          </w:tcPr>
          <w:p>
            <w:pPr>
              <w:widowControl w:val="0"/>
              <w:spacing w:line="480" w:lineRule="auto"/>
              <w:jc w:val="center"/>
              <w:rPr>
                <w:rFonts w:ascii="宋体" w:hAnsi="宋体" w:cs="宋体"/>
                <w:sz w:val="24"/>
                <w:szCs w:val="24"/>
              </w:rPr>
            </w:pPr>
            <w:r>
              <w:rPr>
                <w:rFonts w:hint="eastAsia" w:ascii="宋体" w:hAnsi="宋体" w:cs="宋体"/>
                <w:sz w:val="24"/>
                <w:szCs w:val="24"/>
              </w:rPr>
              <w:t>5361</w:t>
            </w:r>
          </w:p>
        </w:tc>
        <w:tc>
          <w:tcPr>
            <w:tcW w:w="1333" w:type="dxa"/>
            <w:shd w:val="clear" w:color="auto" w:fill="C5E0B3" w:themeFill="accent6" w:themeFillTint="66"/>
          </w:tcPr>
          <w:p>
            <w:pPr>
              <w:widowControl w:val="0"/>
              <w:spacing w:line="480" w:lineRule="auto"/>
              <w:jc w:val="center"/>
              <w:rPr>
                <w:rFonts w:ascii="宋体" w:hAnsi="宋体" w:cs="宋体"/>
                <w:sz w:val="24"/>
                <w:szCs w:val="24"/>
              </w:rPr>
            </w:pPr>
            <w:r>
              <w:rPr>
                <w:rFonts w:hint="eastAsia" w:ascii="宋体" w:hAnsi="宋体" w:cs="宋体"/>
                <w:sz w:val="24"/>
                <w:szCs w:val="24"/>
              </w:rPr>
              <w:t>5320</w:t>
            </w:r>
          </w:p>
        </w:tc>
        <w:tc>
          <w:tcPr>
            <w:tcW w:w="1320" w:type="dxa"/>
            <w:shd w:val="clear" w:color="auto" w:fill="C5E0B3" w:themeFill="accent6" w:themeFillTint="66"/>
            <w:vAlign w:val="center"/>
          </w:tcPr>
          <w:p>
            <w:pPr>
              <w:widowControl w:val="0"/>
              <w:spacing w:line="480" w:lineRule="auto"/>
              <w:jc w:val="center"/>
              <w:rPr>
                <w:rFonts w:ascii="宋体" w:hAnsi="宋体" w:cs="宋体"/>
                <w:sz w:val="24"/>
                <w:szCs w:val="24"/>
              </w:rPr>
            </w:pPr>
            <w:r>
              <w:rPr>
                <w:rFonts w:hint="eastAsia" w:ascii="宋体" w:hAnsi="宋体" w:cs="宋体"/>
                <w:sz w:val="24"/>
                <w:szCs w:val="24"/>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shd w:val="clear" w:color="auto" w:fill="D9E2F3" w:themeFill="accent5" w:themeFillTint="33"/>
            <w:vAlign w:val="center"/>
          </w:tcPr>
          <w:p>
            <w:pPr>
              <w:widowControl w:val="0"/>
              <w:spacing w:line="480" w:lineRule="auto"/>
              <w:jc w:val="center"/>
              <w:rPr>
                <w:rFonts w:ascii="黑体" w:hAnsi="黑体" w:eastAsia="黑体" w:cstheme="majorEastAsia"/>
                <w:sz w:val="24"/>
                <w:szCs w:val="24"/>
              </w:rPr>
            </w:pPr>
            <w:r>
              <w:rPr>
                <w:rFonts w:hint="eastAsia" w:ascii="黑体" w:hAnsi="黑体" w:eastAsia="黑体" w:cstheme="majorEastAsia"/>
                <w:sz w:val="24"/>
                <w:szCs w:val="24"/>
              </w:rPr>
              <w:t>8</w:t>
            </w:r>
          </w:p>
        </w:tc>
        <w:tc>
          <w:tcPr>
            <w:tcW w:w="3646" w:type="dxa"/>
            <w:shd w:val="clear" w:color="auto" w:fill="C5E0B3" w:themeFill="accent6" w:themeFillTint="66"/>
          </w:tcPr>
          <w:p>
            <w:pPr>
              <w:widowControl w:val="0"/>
              <w:spacing w:line="480" w:lineRule="auto"/>
              <w:rPr>
                <w:rFonts w:ascii="宋体" w:hAnsi="宋体" w:cs="宋体"/>
                <w:sz w:val="24"/>
                <w:szCs w:val="24"/>
              </w:rPr>
            </w:pPr>
            <w:r>
              <w:rPr>
                <w:rFonts w:hint="eastAsia" w:ascii="宋体" w:hAnsi="宋体" w:cs="宋体"/>
                <w:sz w:val="24"/>
                <w:szCs w:val="24"/>
              </w:rPr>
              <w:t>专科及以下学历专任教师数</w:t>
            </w:r>
          </w:p>
        </w:tc>
        <w:tc>
          <w:tcPr>
            <w:tcW w:w="1312" w:type="dxa"/>
            <w:shd w:val="clear" w:color="auto" w:fill="C5E0B3" w:themeFill="accent6" w:themeFillTint="66"/>
            <w:vAlign w:val="center"/>
          </w:tcPr>
          <w:p>
            <w:pPr>
              <w:widowControl w:val="0"/>
              <w:spacing w:line="480" w:lineRule="auto"/>
              <w:jc w:val="center"/>
              <w:rPr>
                <w:rFonts w:ascii="宋体" w:hAnsi="宋体" w:cs="宋体"/>
                <w:sz w:val="24"/>
                <w:szCs w:val="24"/>
              </w:rPr>
            </w:pPr>
            <w:r>
              <w:rPr>
                <w:rFonts w:hint="eastAsia" w:ascii="宋体" w:hAnsi="宋体" w:cs="宋体"/>
                <w:sz w:val="24"/>
                <w:szCs w:val="24"/>
              </w:rPr>
              <w:t>954</w:t>
            </w:r>
          </w:p>
        </w:tc>
        <w:tc>
          <w:tcPr>
            <w:tcW w:w="1333" w:type="dxa"/>
            <w:shd w:val="clear" w:color="auto" w:fill="C5E0B3" w:themeFill="accent6" w:themeFillTint="66"/>
          </w:tcPr>
          <w:p>
            <w:pPr>
              <w:widowControl w:val="0"/>
              <w:spacing w:line="480" w:lineRule="auto"/>
              <w:jc w:val="center"/>
              <w:rPr>
                <w:rFonts w:ascii="宋体" w:hAnsi="宋体" w:cs="宋体"/>
                <w:sz w:val="24"/>
                <w:szCs w:val="24"/>
              </w:rPr>
            </w:pPr>
            <w:r>
              <w:rPr>
                <w:rFonts w:hint="eastAsia" w:ascii="宋体" w:hAnsi="宋体" w:cs="宋体"/>
                <w:sz w:val="24"/>
                <w:szCs w:val="24"/>
              </w:rPr>
              <w:t>979</w:t>
            </w:r>
          </w:p>
        </w:tc>
        <w:tc>
          <w:tcPr>
            <w:tcW w:w="1320" w:type="dxa"/>
            <w:shd w:val="clear" w:color="auto" w:fill="C5E0B3" w:themeFill="accent6" w:themeFillTint="66"/>
            <w:vAlign w:val="center"/>
          </w:tcPr>
          <w:p>
            <w:pPr>
              <w:widowControl w:val="0"/>
              <w:spacing w:line="480" w:lineRule="auto"/>
              <w:jc w:val="center"/>
              <w:rPr>
                <w:rFonts w:ascii="宋体" w:hAnsi="宋体" w:cs="宋体"/>
                <w:sz w:val="24"/>
                <w:szCs w:val="24"/>
              </w:rPr>
            </w:pPr>
            <w:r>
              <w:rPr>
                <w:rFonts w:hint="eastAsia" w:ascii="宋体" w:hAnsi="宋体" w:cs="宋体"/>
                <w:sz w:val="24"/>
                <w:szCs w:val="24"/>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shd w:val="clear" w:color="auto" w:fill="D9E2F3" w:themeFill="accent5" w:themeFillTint="33"/>
            <w:vAlign w:val="center"/>
          </w:tcPr>
          <w:p>
            <w:pPr>
              <w:widowControl w:val="0"/>
              <w:spacing w:line="480" w:lineRule="auto"/>
              <w:jc w:val="center"/>
              <w:rPr>
                <w:rFonts w:ascii="黑体" w:hAnsi="黑体" w:eastAsia="黑体" w:cstheme="majorEastAsia"/>
                <w:sz w:val="24"/>
                <w:szCs w:val="24"/>
              </w:rPr>
            </w:pPr>
            <w:r>
              <w:rPr>
                <w:rFonts w:hint="eastAsia" w:ascii="黑体" w:hAnsi="黑体" w:eastAsia="黑体" w:cstheme="majorEastAsia"/>
                <w:sz w:val="24"/>
                <w:szCs w:val="24"/>
              </w:rPr>
              <w:t>9</w:t>
            </w:r>
          </w:p>
        </w:tc>
        <w:tc>
          <w:tcPr>
            <w:tcW w:w="3646" w:type="dxa"/>
            <w:shd w:val="clear" w:color="auto" w:fill="C5E0B3" w:themeFill="accent6" w:themeFillTint="66"/>
          </w:tcPr>
          <w:p>
            <w:pPr>
              <w:widowControl w:val="0"/>
              <w:spacing w:line="480" w:lineRule="auto"/>
              <w:rPr>
                <w:rFonts w:ascii="宋体" w:hAnsi="宋体" w:cs="宋体"/>
                <w:sz w:val="24"/>
                <w:szCs w:val="24"/>
              </w:rPr>
            </w:pPr>
            <w:r>
              <w:rPr>
                <w:rFonts w:hint="eastAsia" w:ascii="宋体" w:hAnsi="宋体" w:cs="宋体"/>
                <w:sz w:val="24"/>
                <w:szCs w:val="24"/>
              </w:rPr>
              <w:t>具有高级职称的专业课教师数</w:t>
            </w:r>
          </w:p>
        </w:tc>
        <w:tc>
          <w:tcPr>
            <w:tcW w:w="1312" w:type="dxa"/>
            <w:shd w:val="clear" w:color="auto" w:fill="C5E0B3" w:themeFill="accent6" w:themeFillTint="66"/>
            <w:vAlign w:val="center"/>
          </w:tcPr>
          <w:p>
            <w:pPr>
              <w:widowControl w:val="0"/>
              <w:spacing w:line="480" w:lineRule="auto"/>
              <w:jc w:val="center"/>
              <w:rPr>
                <w:rFonts w:ascii="宋体" w:hAnsi="宋体" w:cs="宋体"/>
                <w:sz w:val="24"/>
                <w:szCs w:val="24"/>
              </w:rPr>
            </w:pPr>
            <w:r>
              <w:rPr>
                <w:rFonts w:hint="eastAsia" w:ascii="宋体" w:hAnsi="宋体" w:cs="宋体"/>
                <w:sz w:val="24"/>
                <w:szCs w:val="24"/>
              </w:rPr>
              <w:t>493</w:t>
            </w:r>
          </w:p>
        </w:tc>
        <w:tc>
          <w:tcPr>
            <w:tcW w:w="1333" w:type="dxa"/>
            <w:shd w:val="clear" w:color="auto" w:fill="C5E0B3" w:themeFill="accent6" w:themeFillTint="66"/>
          </w:tcPr>
          <w:p>
            <w:pPr>
              <w:widowControl w:val="0"/>
              <w:spacing w:line="480" w:lineRule="auto"/>
              <w:jc w:val="center"/>
              <w:rPr>
                <w:rFonts w:ascii="宋体" w:hAnsi="宋体" w:cs="宋体"/>
                <w:sz w:val="24"/>
                <w:szCs w:val="24"/>
              </w:rPr>
            </w:pPr>
            <w:r>
              <w:rPr>
                <w:rFonts w:hint="eastAsia" w:ascii="宋体" w:hAnsi="宋体" w:cs="宋体"/>
                <w:sz w:val="24"/>
                <w:szCs w:val="24"/>
              </w:rPr>
              <w:t>434</w:t>
            </w:r>
          </w:p>
        </w:tc>
        <w:tc>
          <w:tcPr>
            <w:tcW w:w="1320" w:type="dxa"/>
            <w:shd w:val="clear" w:color="auto" w:fill="C5E0B3" w:themeFill="accent6" w:themeFillTint="66"/>
            <w:vAlign w:val="center"/>
          </w:tcPr>
          <w:p>
            <w:pPr>
              <w:widowControl w:val="0"/>
              <w:spacing w:line="480" w:lineRule="auto"/>
              <w:jc w:val="center"/>
              <w:rPr>
                <w:rFonts w:ascii="宋体" w:hAnsi="宋体" w:cs="宋体"/>
                <w:sz w:val="24"/>
                <w:szCs w:val="24"/>
              </w:rPr>
            </w:pPr>
            <w:r>
              <w:rPr>
                <w:rFonts w:hint="eastAsia" w:ascii="宋体" w:hAnsi="宋体" w:cs="宋体"/>
                <w:sz w:val="24"/>
                <w:szCs w:val="24"/>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shd w:val="clear" w:color="auto" w:fill="D9E2F3" w:themeFill="accent5" w:themeFillTint="33"/>
            <w:vAlign w:val="center"/>
          </w:tcPr>
          <w:p>
            <w:pPr>
              <w:widowControl w:val="0"/>
              <w:spacing w:line="480" w:lineRule="auto"/>
              <w:jc w:val="center"/>
              <w:rPr>
                <w:rFonts w:ascii="黑体" w:hAnsi="黑体" w:eastAsia="黑体" w:cstheme="majorEastAsia"/>
                <w:sz w:val="24"/>
                <w:szCs w:val="24"/>
              </w:rPr>
            </w:pPr>
            <w:r>
              <w:rPr>
                <w:rFonts w:hint="eastAsia" w:ascii="黑体" w:hAnsi="黑体" w:eastAsia="黑体" w:cstheme="majorEastAsia"/>
                <w:sz w:val="24"/>
                <w:szCs w:val="24"/>
              </w:rPr>
              <w:t>10</w:t>
            </w:r>
          </w:p>
        </w:tc>
        <w:tc>
          <w:tcPr>
            <w:tcW w:w="3646" w:type="dxa"/>
            <w:shd w:val="clear" w:color="auto" w:fill="C5E0B3" w:themeFill="accent6" w:themeFillTint="66"/>
          </w:tcPr>
          <w:p>
            <w:pPr>
              <w:widowControl w:val="0"/>
              <w:spacing w:line="480" w:lineRule="auto"/>
              <w:rPr>
                <w:rFonts w:ascii="宋体" w:hAnsi="宋体" w:cs="宋体"/>
                <w:sz w:val="24"/>
                <w:szCs w:val="24"/>
              </w:rPr>
            </w:pPr>
            <w:r>
              <w:rPr>
                <w:rFonts w:hint="eastAsia" w:ascii="宋体" w:hAnsi="宋体" w:cs="宋体"/>
                <w:sz w:val="24"/>
                <w:szCs w:val="24"/>
              </w:rPr>
              <w:t>具有中级职称的专业课教师数</w:t>
            </w:r>
          </w:p>
        </w:tc>
        <w:tc>
          <w:tcPr>
            <w:tcW w:w="1312" w:type="dxa"/>
            <w:shd w:val="clear" w:color="auto" w:fill="C5E0B3" w:themeFill="accent6" w:themeFillTint="66"/>
            <w:vAlign w:val="center"/>
          </w:tcPr>
          <w:p>
            <w:pPr>
              <w:widowControl w:val="0"/>
              <w:spacing w:line="480" w:lineRule="auto"/>
              <w:jc w:val="center"/>
              <w:rPr>
                <w:rFonts w:ascii="宋体" w:hAnsi="宋体" w:cs="宋体"/>
                <w:sz w:val="24"/>
                <w:szCs w:val="24"/>
              </w:rPr>
            </w:pPr>
            <w:r>
              <w:rPr>
                <w:rFonts w:hint="eastAsia" w:ascii="宋体" w:hAnsi="宋体" w:cs="宋体"/>
                <w:sz w:val="24"/>
                <w:szCs w:val="24"/>
              </w:rPr>
              <w:t>1221</w:t>
            </w:r>
          </w:p>
        </w:tc>
        <w:tc>
          <w:tcPr>
            <w:tcW w:w="1333" w:type="dxa"/>
            <w:shd w:val="clear" w:color="auto" w:fill="C5E0B3" w:themeFill="accent6" w:themeFillTint="66"/>
          </w:tcPr>
          <w:p>
            <w:pPr>
              <w:widowControl w:val="0"/>
              <w:spacing w:line="480" w:lineRule="auto"/>
              <w:jc w:val="center"/>
              <w:rPr>
                <w:rFonts w:ascii="宋体" w:hAnsi="宋体" w:cs="宋体"/>
                <w:sz w:val="24"/>
                <w:szCs w:val="24"/>
              </w:rPr>
            </w:pPr>
            <w:r>
              <w:rPr>
                <w:rFonts w:hint="eastAsia" w:ascii="宋体" w:hAnsi="宋体" w:cs="宋体"/>
                <w:sz w:val="24"/>
                <w:szCs w:val="24"/>
              </w:rPr>
              <w:t>1086</w:t>
            </w:r>
          </w:p>
        </w:tc>
        <w:tc>
          <w:tcPr>
            <w:tcW w:w="1320" w:type="dxa"/>
            <w:shd w:val="clear" w:color="auto" w:fill="C5E0B3" w:themeFill="accent6" w:themeFillTint="66"/>
            <w:vAlign w:val="center"/>
          </w:tcPr>
          <w:p>
            <w:pPr>
              <w:widowControl w:val="0"/>
              <w:spacing w:line="480" w:lineRule="auto"/>
              <w:jc w:val="center"/>
              <w:rPr>
                <w:rFonts w:ascii="宋体" w:hAnsi="宋体" w:cs="宋体"/>
                <w:sz w:val="24"/>
                <w:szCs w:val="24"/>
              </w:rPr>
            </w:pPr>
            <w:r>
              <w:rPr>
                <w:rFonts w:hint="eastAsia" w:ascii="宋体" w:hAnsi="宋体" w:cs="宋体"/>
                <w:sz w:val="24"/>
                <w:szCs w:val="24"/>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shd w:val="clear" w:color="auto" w:fill="D9E2F3" w:themeFill="accent5" w:themeFillTint="33"/>
          </w:tcPr>
          <w:p>
            <w:pPr>
              <w:widowControl w:val="0"/>
              <w:spacing w:line="480" w:lineRule="auto"/>
              <w:jc w:val="center"/>
              <w:rPr>
                <w:rFonts w:ascii="黑体" w:hAnsi="黑体" w:eastAsia="黑体" w:cstheme="majorEastAsia"/>
                <w:sz w:val="24"/>
                <w:szCs w:val="24"/>
              </w:rPr>
            </w:pPr>
            <w:r>
              <w:rPr>
                <w:rFonts w:hint="eastAsia" w:ascii="黑体" w:hAnsi="黑体" w:eastAsia="黑体" w:cstheme="majorEastAsia"/>
                <w:sz w:val="24"/>
                <w:szCs w:val="24"/>
              </w:rPr>
              <w:t>11</w:t>
            </w:r>
          </w:p>
        </w:tc>
        <w:tc>
          <w:tcPr>
            <w:tcW w:w="3646" w:type="dxa"/>
            <w:shd w:val="clear" w:color="auto" w:fill="C5E0B3" w:themeFill="accent6" w:themeFillTint="66"/>
          </w:tcPr>
          <w:p>
            <w:pPr>
              <w:widowControl w:val="0"/>
              <w:spacing w:line="480" w:lineRule="auto"/>
              <w:rPr>
                <w:rFonts w:ascii="宋体" w:hAnsi="宋体" w:cs="宋体"/>
                <w:sz w:val="24"/>
                <w:szCs w:val="24"/>
              </w:rPr>
            </w:pPr>
            <w:r>
              <w:rPr>
                <w:rFonts w:hint="eastAsia" w:ascii="宋体" w:hAnsi="宋体" w:cs="宋体"/>
                <w:sz w:val="24"/>
                <w:szCs w:val="24"/>
              </w:rPr>
              <w:t>具有初级职称的专业课教师数</w:t>
            </w:r>
          </w:p>
        </w:tc>
        <w:tc>
          <w:tcPr>
            <w:tcW w:w="1312" w:type="dxa"/>
            <w:shd w:val="clear" w:color="auto" w:fill="C5E0B3" w:themeFill="accent6" w:themeFillTint="66"/>
            <w:vAlign w:val="center"/>
          </w:tcPr>
          <w:p>
            <w:pPr>
              <w:widowControl w:val="0"/>
              <w:spacing w:line="480" w:lineRule="auto"/>
              <w:jc w:val="center"/>
              <w:rPr>
                <w:rFonts w:ascii="宋体" w:hAnsi="宋体" w:cs="宋体"/>
                <w:sz w:val="24"/>
                <w:szCs w:val="24"/>
              </w:rPr>
            </w:pPr>
            <w:r>
              <w:rPr>
                <w:rFonts w:hint="eastAsia" w:ascii="宋体" w:hAnsi="宋体" w:cs="宋体"/>
                <w:sz w:val="24"/>
                <w:szCs w:val="24"/>
              </w:rPr>
              <w:t>1058</w:t>
            </w:r>
          </w:p>
        </w:tc>
        <w:tc>
          <w:tcPr>
            <w:tcW w:w="1333" w:type="dxa"/>
            <w:shd w:val="clear" w:color="auto" w:fill="C5E0B3" w:themeFill="accent6" w:themeFillTint="66"/>
          </w:tcPr>
          <w:p>
            <w:pPr>
              <w:widowControl w:val="0"/>
              <w:spacing w:line="480" w:lineRule="auto"/>
              <w:jc w:val="center"/>
              <w:rPr>
                <w:rFonts w:ascii="宋体" w:hAnsi="宋体" w:cs="宋体"/>
                <w:sz w:val="24"/>
                <w:szCs w:val="24"/>
              </w:rPr>
            </w:pPr>
            <w:r>
              <w:rPr>
                <w:rFonts w:hint="eastAsia" w:ascii="宋体" w:hAnsi="宋体" w:cs="宋体"/>
                <w:sz w:val="24"/>
                <w:szCs w:val="24"/>
              </w:rPr>
              <w:t>995</w:t>
            </w:r>
          </w:p>
        </w:tc>
        <w:tc>
          <w:tcPr>
            <w:tcW w:w="1320" w:type="dxa"/>
            <w:shd w:val="clear" w:color="auto" w:fill="C5E0B3" w:themeFill="accent6" w:themeFillTint="66"/>
            <w:vAlign w:val="center"/>
          </w:tcPr>
          <w:p>
            <w:pPr>
              <w:widowControl w:val="0"/>
              <w:spacing w:line="480" w:lineRule="auto"/>
              <w:jc w:val="center"/>
              <w:rPr>
                <w:rFonts w:ascii="宋体" w:hAnsi="宋体" w:cs="宋体"/>
                <w:sz w:val="24"/>
                <w:szCs w:val="24"/>
              </w:rPr>
            </w:pPr>
            <w:r>
              <w:rPr>
                <w:rFonts w:hint="eastAsia" w:ascii="宋体" w:hAnsi="宋体" w:cs="宋体"/>
                <w:sz w:val="24"/>
                <w:szCs w:val="24"/>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shd w:val="clear" w:color="auto" w:fill="D9E2F3" w:themeFill="accent5" w:themeFillTint="33"/>
          </w:tcPr>
          <w:p>
            <w:pPr>
              <w:widowControl w:val="0"/>
              <w:spacing w:line="480" w:lineRule="auto"/>
              <w:jc w:val="center"/>
              <w:rPr>
                <w:rFonts w:ascii="黑体" w:hAnsi="黑体" w:eastAsia="黑体" w:cstheme="majorEastAsia"/>
                <w:sz w:val="24"/>
                <w:szCs w:val="24"/>
              </w:rPr>
            </w:pPr>
            <w:r>
              <w:rPr>
                <w:rFonts w:hint="eastAsia" w:ascii="黑体" w:hAnsi="黑体" w:eastAsia="黑体" w:cstheme="majorEastAsia"/>
                <w:sz w:val="24"/>
                <w:szCs w:val="24"/>
              </w:rPr>
              <w:t>12</w:t>
            </w:r>
          </w:p>
        </w:tc>
        <w:tc>
          <w:tcPr>
            <w:tcW w:w="3646" w:type="dxa"/>
            <w:shd w:val="clear" w:color="auto" w:fill="C5E0B3" w:themeFill="accent6" w:themeFillTint="66"/>
          </w:tcPr>
          <w:p>
            <w:pPr>
              <w:widowControl w:val="0"/>
              <w:spacing w:line="480" w:lineRule="auto"/>
              <w:rPr>
                <w:rFonts w:ascii="宋体" w:hAnsi="宋体" w:cs="宋体"/>
                <w:sz w:val="24"/>
                <w:szCs w:val="24"/>
              </w:rPr>
            </w:pPr>
            <w:r>
              <w:rPr>
                <w:rFonts w:hint="eastAsia" w:ascii="宋体" w:hAnsi="宋体" w:cs="宋体"/>
                <w:sz w:val="24"/>
                <w:szCs w:val="24"/>
              </w:rPr>
              <w:t>未定职级的专业课教师数</w:t>
            </w:r>
          </w:p>
        </w:tc>
        <w:tc>
          <w:tcPr>
            <w:tcW w:w="1312" w:type="dxa"/>
            <w:shd w:val="clear" w:color="auto" w:fill="C5E0B3" w:themeFill="accent6" w:themeFillTint="66"/>
            <w:vAlign w:val="center"/>
          </w:tcPr>
          <w:p>
            <w:pPr>
              <w:widowControl/>
              <w:spacing w:line="480" w:lineRule="auto"/>
              <w:jc w:val="center"/>
              <w:textAlignment w:val="center"/>
              <w:rPr>
                <w:rFonts w:ascii="宋体" w:hAnsi="宋体" w:cs="宋体"/>
                <w:sz w:val="24"/>
                <w:szCs w:val="24"/>
              </w:rPr>
            </w:pPr>
            <w:r>
              <w:rPr>
                <w:rFonts w:hint="eastAsia" w:ascii="宋体" w:hAnsi="宋体" w:cs="宋体"/>
                <w:sz w:val="24"/>
                <w:szCs w:val="24"/>
              </w:rPr>
              <w:t>1131</w:t>
            </w:r>
          </w:p>
        </w:tc>
        <w:tc>
          <w:tcPr>
            <w:tcW w:w="1333" w:type="dxa"/>
            <w:shd w:val="clear" w:color="auto" w:fill="C5E0B3" w:themeFill="accent6" w:themeFillTint="66"/>
          </w:tcPr>
          <w:p>
            <w:pPr>
              <w:widowControl w:val="0"/>
              <w:spacing w:line="480" w:lineRule="auto"/>
              <w:jc w:val="center"/>
              <w:rPr>
                <w:rFonts w:ascii="宋体" w:hAnsi="宋体" w:cs="宋体"/>
                <w:sz w:val="24"/>
                <w:szCs w:val="24"/>
              </w:rPr>
            </w:pPr>
            <w:r>
              <w:rPr>
                <w:rFonts w:hint="eastAsia" w:ascii="宋体" w:hAnsi="宋体" w:cs="宋体"/>
                <w:sz w:val="24"/>
                <w:szCs w:val="24"/>
              </w:rPr>
              <w:t>1185</w:t>
            </w:r>
          </w:p>
        </w:tc>
        <w:tc>
          <w:tcPr>
            <w:tcW w:w="1320" w:type="dxa"/>
            <w:shd w:val="clear" w:color="auto" w:fill="C5E0B3" w:themeFill="accent6" w:themeFillTint="66"/>
            <w:vAlign w:val="center"/>
          </w:tcPr>
          <w:p>
            <w:pPr>
              <w:widowControl/>
              <w:spacing w:line="480" w:lineRule="auto"/>
              <w:jc w:val="center"/>
              <w:textAlignment w:val="center"/>
              <w:rPr>
                <w:rFonts w:ascii="宋体" w:hAnsi="宋体" w:cs="宋体"/>
                <w:sz w:val="24"/>
                <w:szCs w:val="24"/>
              </w:rPr>
            </w:pPr>
            <w:r>
              <w:rPr>
                <w:rFonts w:hint="eastAsia" w:ascii="宋体" w:hAnsi="宋体" w:cs="宋体"/>
                <w:sz w:val="24"/>
                <w:szCs w:val="24"/>
              </w:rPr>
              <w:t>4.8%</w:t>
            </w:r>
          </w:p>
        </w:tc>
      </w:tr>
    </w:tbl>
    <w:p>
      <w:pPr>
        <w:widowControl w:val="0"/>
        <w:rPr>
          <w:rFonts w:hint="eastAsia" w:ascii="Calibri Light" w:hAnsi="Calibri Light" w:eastAsia="黑体"/>
          <w:szCs w:val="32"/>
        </w:rPr>
      </w:pPr>
      <w:bookmarkStart w:id="40" w:name="_Toc12066_WPSOffice_Level1"/>
      <w:bookmarkStart w:id="41" w:name="_Toc24263"/>
      <w:bookmarkStart w:id="42" w:name="_Toc25098_WPSOffice_Level1"/>
    </w:p>
    <w:p>
      <w:pPr>
        <w:widowControl w:val="0"/>
        <w:rPr>
          <w:rFonts w:hint="eastAsia" w:ascii="Calibri Light" w:hAnsi="Calibri Light" w:eastAsia="黑体"/>
          <w:szCs w:val="32"/>
        </w:rPr>
      </w:pPr>
    </w:p>
    <w:p>
      <w:pPr>
        <w:widowControl w:val="0"/>
        <w:ind w:firstLine="1540" w:firstLineChars="550"/>
        <w:rPr>
          <w:rFonts w:ascii="楷体" w:hAnsi="楷体" w:eastAsia="楷体" w:cs="楷体"/>
          <w:b/>
          <w:bCs/>
          <w:sz w:val="32"/>
          <w:szCs w:val="32"/>
        </w:rPr>
      </w:pPr>
      <w:r>
        <w:rPr>
          <w:rFonts w:hint="eastAsia" w:ascii="黑体" w:hAnsi="黑体" w:eastAsia="黑体"/>
          <w:sz w:val="28"/>
          <w:szCs w:val="28"/>
        </w:rPr>
        <w:t>表1-7：2020年 郑州市中等职业学校教师结构</w:t>
      </w:r>
    </w:p>
    <w:p>
      <w:pPr>
        <w:widowControl w:val="0"/>
        <w:rPr>
          <w:rFonts w:ascii="黑体" w:hAnsi="黑体" w:eastAsia="黑体" w:cs="黑体"/>
          <w:sz w:val="36"/>
          <w:szCs w:val="36"/>
        </w:rPr>
      </w:pPr>
      <w:r>
        <w:drawing>
          <wp:inline distT="0" distB="0" distL="0" distR="0">
            <wp:extent cx="2567940" cy="2098675"/>
            <wp:effectExtent l="0" t="0" r="22860" b="1587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r>
        <w:rPr>
          <w:rFonts w:hint="eastAsia" w:ascii="黑体" w:hAnsi="黑体" w:eastAsia="黑体" w:cs="黑体"/>
          <w:sz w:val="36"/>
          <w:szCs w:val="36"/>
        </w:rPr>
        <w:t xml:space="preserve"> </w:t>
      </w:r>
      <w:r>
        <w:drawing>
          <wp:inline distT="0" distB="0" distL="0" distR="0">
            <wp:extent cx="2687320" cy="2098675"/>
            <wp:effectExtent l="0" t="0" r="17780" b="15875"/>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widowControl w:val="0"/>
        <w:jc w:val="center"/>
        <w:rPr>
          <w:rFonts w:ascii="黑体" w:hAnsi="黑体" w:eastAsia="黑体" w:cs="黑体"/>
          <w:sz w:val="36"/>
          <w:szCs w:val="36"/>
        </w:rPr>
      </w:pPr>
    </w:p>
    <w:p>
      <w:pPr>
        <w:widowControl w:val="0"/>
        <w:jc w:val="center"/>
        <w:rPr>
          <w:rFonts w:ascii="黑体" w:hAnsi="黑体" w:eastAsia="黑体" w:cs="黑体"/>
          <w:sz w:val="36"/>
          <w:szCs w:val="36"/>
        </w:rPr>
      </w:pPr>
      <w:r>
        <w:rPr>
          <w:rFonts w:hint="eastAsia" w:ascii="黑体" w:hAnsi="黑体" w:eastAsia="黑体" w:cs="黑体"/>
          <w:sz w:val="36"/>
          <w:szCs w:val="36"/>
        </w:rPr>
        <w:t>第二部分  学生发展</w:t>
      </w:r>
      <w:bookmarkEnd w:id="40"/>
      <w:bookmarkEnd w:id="41"/>
      <w:bookmarkEnd w:id="42"/>
      <w:bookmarkStart w:id="43" w:name="_Toc10204_WPSOffice_Level2"/>
      <w:bookmarkStart w:id="44" w:name="_Toc7578"/>
      <w:bookmarkStart w:id="45" w:name="_Toc21822_WPSOffice_Level2"/>
    </w:p>
    <w:p>
      <w:pPr>
        <w:ind w:firstLine="643" w:firstLineChars="200"/>
        <w:rPr>
          <w:rFonts w:ascii="楷体" w:hAnsi="楷体" w:eastAsia="楷体" w:cs="楷体"/>
          <w:b/>
          <w:bCs/>
          <w:sz w:val="32"/>
          <w:szCs w:val="32"/>
        </w:rPr>
      </w:pPr>
      <w:r>
        <w:rPr>
          <w:rFonts w:hint="eastAsia" w:ascii="楷体" w:hAnsi="楷体" w:eastAsia="楷体" w:cs="楷体"/>
          <w:b/>
          <w:bCs/>
          <w:sz w:val="32"/>
          <w:szCs w:val="32"/>
        </w:rPr>
        <w:t>2.1学生素质</w:t>
      </w:r>
      <w:bookmarkEnd w:id="43"/>
      <w:bookmarkEnd w:id="44"/>
      <w:bookmarkEnd w:id="45"/>
    </w:p>
    <w:p>
      <w:pPr>
        <w:widowControl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郑州市中等职业教育坚持以立德树人为根本，以提升人才培养质量为核心，</w:t>
      </w:r>
      <w:r>
        <w:rPr>
          <w:rFonts w:hint="eastAsia" w:ascii="仿宋" w:hAnsi="仿宋" w:eastAsia="仿宋" w:cs="宋体"/>
          <w:kern w:val="0"/>
          <w:sz w:val="32"/>
          <w:szCs w:val="32"/>
        </w:rPr>
        <w:t>通过文化育人、管理育人、活动育人、课程育人、实践育人等实施路径，</w:t>
      </w:r>
      <w:r>
        <w:rPr>
          <w:rFonts w:hint="eastAsia" w:ascii="仿宋_GB2312" w:hAnsi="仿宋_GB2312" w:eastAsia="仿宋_GB2312" w:cs="仿宋_GB2312"/>
          <w:sz w:val="32"/>
          <w:szCs w:val="32"/>
        </w:rPr>
        <w:t>全方位、系统化地开展学生工作，</w:t>
      </w:r>
      <w:r>
        <w:rPr>
          <w:rFonts w:ascii="仿宋" w:hAnsi="仿宋" w:eastAsia="仿宋" w:cs="宋体"/>
          <w:kern w:val="0"/>
          <w:sz w:val="32"/>
          <w:szCs w:val="32"/>
        </w:rPr>
        <w:t>不断提高学生的综合素质</w:t>
      </w:r>
      <w:r>
        <w:rPr>
          <w:rFonts w:hint="eastAsia" w:ascii="仿宋" w:hAnsi="仿宋" w:eastAsia="仿宋" w:cs="宋体"/>
          <w:kern w:val="0"/>
          <w:sz w:val="32"/>
          <w:szCs w:val="32"/>
        </w:rPr>
        <w:t>。</w:t>
      </w:r>
    </w:p>
    <w:p>
      <w:pPr>
        <w:widowControl w:val="0"/>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坚持德育为先，全面落实立德树人根本任务。</w:t>
      </w:r>
      <w:r>
        <w:rPr>
          <w:rFonts w:hint="eastAsia" w:ascii="仿宋_GB2312" w:hAnsi="仿宋_GB2312" w:eastAsia="仿宋_GB2312" w:cs="仿宋_GB2312"/>
          <w:sz w:val="32"/>
          <w:szCs w:val="32"/>
        </w:rPr>
        <w:t>各中职学校注重社会主义核心价值观的引导与教育，各校</w:t>
      </w:r>
      <w:r>
        <w:rPr>
          <w:rFonts w:hint="eastAsia" w:ascii="仿宋_GB2312" w:hAnsi="仿宋_GB2312" w:eastAsia="仿宋_GB2312" w:cs="仿宋_GB2312"/>
          <w:spacing w:val="8"/>
          <w:sz w:val="32"/>
          <w:szCs w:val="32"/>
          <w:shd w:val="clear" w:color="auto" w:fill="FFFFFF"/>
        </w:rPr>
        <w:t>围绕爱国主义教育、生命教育、疫情防控教育、自我保护教育等内容，组织中职学校开展“开学第一课”活动、“把灾难当教材 与祖国共成长”抗疫故事演讲竞赛等活动，将核心价值观自然融入</w:t>
      </w:r>
      <w:r>
        <w:rPr>
          <w:rFonts w:hint="eastAsia" w:ascii="仿宋_GB2312" w:hAnsi="仿宋_GB2312" w:eastAsia="仿宋_GB2312" w:cs="仿宋_GB2312"/>
          <w:sz w:val="32"/>
          <w:szCs w:val="32"/>
        </w:rPr>
        <w:t>日常德育工作中，引导学生自觉形成良好的思想品质和行为规范。郑州市每年举办中等职业学校“文明风采”竞赛活动，以竞赛促进德育活动开展，2020年，</w:t>
      </w:r>
      <w:r>
        <w:rPr>
          <w:rFonts w:hint="eastAsia" w:ascii="仿宋_GB2312" w:hAnsi="仿宋_GB2312" w:eastAsia="仿宋_GB2312" w:cs="仿宋_GB2312"/>
          <w:spacing w:val="8"/>
          <w:sz w:val="32"/>
          <w:szCs w:val="32"/>
          <w:shd w:val="clear" w:color="auto" w:fill="FFFFFF"/>
        </w:rPr>
        <w:t>举办第十四届，圆满完成8个项目的竞赛活动。</w:t>
      </w:r>
      <w:r>
        <w:rPr>
          <w:rFonts w:hint="eastAsia" w:ascii="仿宋_GB2312" w:hAnsi="仿宋_GB2312" w:eastAsia="仿宋_GB2312" w:cs="仿宋_GB2312"/>
          <w:sz w:val="32"/>
          <w:szCs w:val="32"/>
        </w:rPr>
        <w:t>郑州市精心选拔市级代表队参加河南省中等职业学校“文明风采”竞赛，获得一等奖23人，二等奖18人，三等奖10人。</w:t>
      </w:r>
    </w:p>
    <w:p>
      <w:pPr>
        <w:widowControl w:val="0"/>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坚持育人为本，全面提升学生综合素质。</w:t>
      </w:r>
      <w:r>
        <w:rPr>
          <w:rFonts w:hint="eastAsia" w:ascii="仿宋_GB2312" w:hAnsi="仿宋_GB2312" w:eastAsia="仿宋_GB2312" w:cs="仿宋_GB2312"/>
          <w:sz w:val="32"/>
          <w:szCs w:val="32"/>
        </w:rPr>
        <w:t>郑州市中等职业教育在实现专业技能考核全员化的基础上，不断加强文化基础课教育，切实提高毕业生就业水平和可持续发展能力。2020年，郑州市组织中职生参加德育、计算机应用基础、语文、数学、英语等5门公共基础学科测试，充分挖掘公共基础学科测试工作过程的育人作用，促进中职生行为习惯的养成，提高学生综合职业素养。</w:t>
      </w:r>
      <w:bookmarkStart w:id="46" w:name="_Toc11175"/>
      <w:r>
        <w:rPr>
          <w:rFonts w:hint="eastAsia" w:ascii="仿宋" w:hAnsi="仿宋" w:eastAsia="仿宋" w:cs="宋体"/>
          <w:kern w:val="0"/>
          <w:sz w:val="32"/>
          <w:szCs w:val="32"/>
        </w:rPr>
        <w:t>2020</w:t>
      </w:r>
      <w:r>
        <w:rPr>
          <w:rFonts w:ascii="仿宋" w:hAnsi="仿宋" w:eastAsia="仿宋" w:cs="宋体"/>
          <w:kern w:val="0"/>
          <w:sz w:val="32"/>
          <w:szCs w:val="32"/>
        </w:rPr>
        <w:t>年，学生基本素质情况总体良好，学生文化课合格率</w:t>
      </w:r>
      <w:r>
        <w:rPr>
          <w:rFonts w:hint="eastAsia" w:ascii="仿宋" w:hAnsi="仿宋" w:eastAsia="仿宋" w:cs="宋体"/>
          <w:kern w:val="0"/>
          <w:sz w:val="32"/>
          <w:szCs w:val="32"/>
        </w:rPr>
        <w:t xml:space="preserve"> 95.7 </w:t>
      </w:r>
      <w:r>
        <w:rPr>
          <w:rFonts w:ascii="仿宋" w:hAnsi="仿宋" w:eastAsia="仿宋" w:cs="宋体"/>
          <w:kern w:val="0"/>
          <w:sz w:val="32"/>
          <w:szCs w:val="32"/>
        </w:rPr>
        <w:t>%</w:t>
      </w:r>
      <w:r>
        <w:rPr>
          <w:rFonts w:hint="eastAsia" w:ascii="仿宋" w:hAnsi="仿宋" w:eastAsia="仿宋" w:cs="宋体"/>
          <w:kern w:val="0"/>
          <w:sz w:val="32"/>
          <w:szCs w:val="32"/>
        </w:rPr>
        <w:t>，专业</w:t>
      </w:r>
      <w:r>
        <w:rPr>
          <w:rFonts w:ascii="仿宋" w:hAnsi="仿宋" w:eastAsia="仿宋" w:cs="宋体"/>
          <w:kern w:val="0"/>
          <w:sz w:val="32"/>
          <w:szCs w:val="32"/>
        </w:rPr>
        <w:t>技能合格率</w:t>
      </w:r>
      <w:r>
        <w:rPr>
          <w:rFonts w:hint="eastAsia" w:ascii="仿宋" w:hAnsi="仿宋" w:eastAsia="仿宋" w:cs="宋体"/>
          <w:kern w:val="0"/>
          <w:sz w:val="32"/>
          <w:szCs w:val="32"/>
        </w:rPr>
        <w:t xml:space="preserve"> 97.8 </w:t>
      </w:r>
      <w:r>
        <w:rPr>
          <w:rFonts w:ascii="仿宋" w:hAnsi="仿宋" w:eastAsia="仿宋" w:cs="宋体"/>
          <w:kern w:val="0"/>
          <w:sz w:val="32"/>
          <w:szCs w:val="32"/>
        </w:rPr>
        <w:t>%，体质测评合格率</w:t>
      </w:r>
      <w:r>
        <w:rPr>
          <w:rFonts w:hint="eastAsia" w:ascii="仿宋" w:hAnsi="仿宋" w:eastAsia="仿宋" w:cs="宋体"/>
          <w:kern w:val="0"/>
          <w:sz w:val="32"/>
          <w:szCs w:val="32"/>
        </w:rPr>
        <w:t xml:space="preserve">95.6 </w:t>
      </w:r>
      <w:r>
        <w:rPr>
          <w:rFonts w:ascii="仿宋" w:hAnsi="仿宋" w:eastAsia="仿宋" w:cs="宋体"/>
          <w:kern w:val="0"/>
          <w:sz w:val="32"/>
          <w:szCs w:val="32"/>
        </w:rPr>
        <w:t>%，</w:t>
      </w:r>
      <w:r>
        <w:rPr>
          <w:rFonts w:hint="eastAsia" w:ascii="仿宋" w:hAnsi="仿宋" w:eastAsia="仿宋" w:cs="宋体"/>
          <w:kern w:val="0"/>
          <w:sz w:val="32"/>
          <w:szCs w:val="32"/>
        </w:rPr>
        <w:t>毕业率98.4</w:t>
      </w:r>
      <w:r>
        <w:rPr>
          <w:rFonts w:ascii="仿宋" w:hAnsi="仿宋" w:eastAsia="仿宋" w:cs="宋体"/>
          <w:kern w:val="0"/>
          <w:sz w:val="32"/>
          <w:szCs w:val="32"/>
        </w:rPr>
        <w:t>%</w:t>
      </w:r>
      <w:r>
        <w:rPr>
          <w:rFonts w:hint="eastAsia" w:ascii="仿宋" w:hAnsi="仿宋" w:eastAsia="仿宋" w:cs="宋体"/>
          <w:kern w:val="0"/>
          <w:sz w:val="32"/>
          <w:szCs w:val="32"/>
        </w:rPr>
        <w:t>。</w:t>
      </w:r>
      <w:bookmarkStart w:id="47" w:name="_Toc22898_WPSOffice_Level2"/>
      <w:bookmarkStart w:id="48" w:name="_Toc3780_WPSOffice_Level2"/>
    </w:p>
    <w:p>
      <w:pPr>
        <w:widowControl w:val="0"/>
        <w:ind w:firstLine="643" w:firstLineChars="200"/>
        <w:rPr>
          <w:rFonts w:ascii="楷体" w:hAnsi="楷体" w:eastAsia="楷体" w:cs="楷体"/>
          <w:b/>
          <w:bCs/>
          <w:sz w:val="32"/>
          <w:szCs w:val="32"/>
        </w:rPr>
      </w:pPr>
      <w:r>
        <w:rPr>
          <w:rFonts w:hint="eastAsia" w:ascii="楷体" w:hAnsi="楷体" w:eastAsia="楷体" w:cs="楷体"/>
          <w:b/>
          <w:bCs/>
          <w:sz w:val="32"/>
          <w:szCs w:val="32"/>
        </w:rPr>
        <w:t>2.2就业质量</w:t>
      </w:r>
      <w:bookmarkEnd w:id="46"/>
      <w:bookmarkEnd w:id="47"/>
      <w:bookmarkEnd w:id="48"/>
    </w:p>
    <w:p>
      <w:pPr>
        <w:pStyle w:val="12"/>
        <w:shd w:val="clear" w:color="auto" w:fill="FFFFFF"/>
        <w:spacing w:before="0" w:beforeAutospacing="0" w:after="0" w:afterAutospacing="0"/>
        <w:ind w:firstLine="636" w:firstLineChars="199"/>
        <w:rPr>
          <w:rFonts w:ascii="仿宋_GB2312" w:eastAsia="仿宋_GB2312"/>
          <w:bCs/>
          <w:sz w:val="32"/>
          <w:szCs w:val="32"/>
          <w:highlight w:val="yellow"/>
        </w:rPr>
      </w:pPr>
      <w:r>
        <w:rPr>
          <w:rFonts w:hint="eastAsia" w:ascii="仿宋_GB2312" w:hAnsi="仿宋_GB2312" w:eastAsia="仿宋_GB2312" w:cs="仿宋_GB2312"/>
          <w:sz w:val="32"/>
          <w:szCs w:val="32"/>
        </w:rPr>
        <w:t>郑州市中等职业学校坚持以就业为本的基本办学原则，深刻把握就业创业工作意义，多措并举促进毕业生高质量就业，全市中等职业学校就业质量持续向好发展，在“稳就业”方面始终发挥着重要作用。</w:t>
      </w:r>
      <w:r>
        <w:rPr>
          <w:rFonts w:hint="eastAsia" w:ascii="仿宋_GB2312" w:hAnsi="仿宋_GB2312" w:eastAsia="仿宋_GB2312" w:cs="仿宋_GB2312"/>
          <w:b/>
          <w:bCs/>
          <w:sz w:val="32"/>
          <w:szCs w:val="32"/>
        </w:rPr>
        <w:t>一是</w:t>
      </w:r>
      <w:r>
        <w:rPr>
          <w:rFonts w:hint="eastAsia" w:ascii="仿宋_GB2312" w:hAnsi="仿宋_GB2312" w:eastAsia="仿宋_GB2312" w:cs="仿宋_GB2312"/>
          <w:bCs/>
          <w:sz w:val="32"/>
          <w:szCs w:val="32"/>
        </w:rPr>
        <w:t>对中职学生就业指导工作室加强制度管理和业务指导。以就业指导工作室为抓手</w:t>
      </w:r>
      <w:r>
        <w:rPr>
          <w:rFonts w:hint="eastAsia" w:ascii="仿宋_GB2312" w:hAnsi="仿宋_GB2312" w:eastAsia="仿宋_GB2312" w:cs="仿宋_GB2312"/>
          <w:sz w:val="32"/>
          <w:szCs w:val="32"/>
        </w:rPr>
        <w:t>，培育就业指导工作名师团队，强化校际之间就业指导的合作交流，不断提升学生的就业和创业能力。</w:t>
      </w:r>
      <w:r>
        <w:rPr>
          <w:rFonts w:hint="eastAsia" w:ascii="仿宋_GB2312" w:hAnsi="仿宋_GB2312" w:eastAsia="仿宋_GB2312" w:cs="仿宋_GB2312"/>
          <w:b/>
          <w:bCs/>
          <w:sz w:val="32"/>
          <w:szCs w:val="32"/>
        </w:rPr>
        <w:t>二是</w:t>
      </w:r>
      <w:r>
        <w:rPr>
          <w:rFonts w:hint="eastAsia" w:ascii="仿宋_GB2312" w:hAnsi="仿宋_GB2312" w:eastAsia="仿宋_GB2312" w:cs="仿宋_GB2312"/>
          <w:sz w:val="32"/>
          <w:szCs w:val="32"/>
        </w:rPr>
        <w:t>组织郑州市中等职业学校就业指导工作人员培训。培训围绕“就业指导”主题，通过专家讲座、经验交流、专题讨论、参观学习等方式，全面提升就业指导工作者的理论水平和业务能力。</w:t>
      </w:r>
      <w:r>
        <w:rPr>
          <w:rFonts w:hint="eastAsia" w:ascii="仿宋_GB2312" w:hAnsi="仿宋_GB2312" w:eastAsia="仿宋_GB2312" w:cs="仿宋_GB2312"/>
          <w:b/>
          <w:bCs/>
          <w:sz w:val="32"/>
          <w:szCs w:val="32"/>
        </w:rPr>
        <w:t>三是</w:t>
      </w:r>
      <w:r>
        <w:rPr>
          <w:rFonts w:hint="eastAsia" w:ascii="仿宋_GB2312" w:hAnsi="仿宋_GB2312" w:eastAsia="仿宋_GB2312" w:cs="仿宋_GB2312"/>
          <w:sz w:val="32"/>
          <w:szCs w:val="32"/>
        </w:rPr>
        <w:t>做好学生创新和创业教育。各中职学校开展职业生涯咨询服务，帮助学生学习创新创业知识，了解创新创业的途径和方法，树立创新创业意识，提高创新创业能力。</w:t>
      </w:r>
    </w:p>
    <w:p>
      <w:pPr>
        <w:pStyle w:val="12"/>
        <w:shd w:val="clear" w:color="auto" w:fill="FFFFFF"/>
        <w:spacing w:before="0" w:beforeAutospacing="0" w:after="0" w:afterAutospacing="0"/>
        <w:ind w:firstLine="636" w:firstLineChars="199"/>
        <w:rPr>
          <w:rFonts w:ascii="仿宋_GB2312" w:hAnsi="仿宋_GB2312" w:eastAsia="仿宋_GB2312" w:cs="仿宋_GB2312"/>
          <w:sz w:val="32"/>
          <w:szCs w:val="32"/>
        </w:rPr>
      </w:pPr>
      <w:r>
        <w:rPr>
          <w:rFonts w:hint="eastAsia" w:ascii="仿宋_GB2312" w:hAnsi="仿宋_GB2312" w:eastAsia="仿宋_GB2312" w:cs="仿宋_GB2312"/>
          <w:sz w:val="32"/>
          <w:szCs w:val="32"/>
        </w:rPr>
        <w:t>郑州市高度重视中职毕业生就业工作。受疫情影响，今年就业形势尤为复杂严峻，本着稳就业就是保障民生，郑州市采取积极措施，创新就业服务，推进网上就业，大力拓宽中职毕业生就业和升学渠道，帮扶家庭困难等重点群体，不断提升就业管理服务水平，确保疫情期间的就业稳定。2020年，郑州市中等职业学校毕业生数为5.3万人，就业人数为5.16万人（含升学人数），平均就业率为97.5%，比上年（97.3%）提升0.2个百分点；对口就业率为91.0%，比上年（90.6%）提高0.4个百分点；就业满意度100%。平均起薪2178元，比上年降低322元，3000元以上的占比31%，就业形势整体保持平稳态势。</w:t>
      </w:r>
    </w:p>
    <w:p>
      <w:pPr>
        <w:pStyle w:val="12"/>
        <w:shd w:val="clear" w:color="auto" w:fill="FFFFFF"/>
        <w:spacing w:before="0" w:beforeAutospacing="0" w:after="0" w:afterAutospacing="0"/>
        <w:ind w:firstLine="639" w:firstLineChars="199"/>
        <w:rPr>
          <w:rFonts w:ascii="楷体" w:hAnsi="楷体" w:eastAsia="楷体" w:cs="楷体"/>
          <w:b/>
          <w:bCs/>
          <w:kern w:val="2"/>
          <w:sz w:val="32"/>
          <w:szCs w:val="32"/>
        </w:rPr>
      </w:pPr>
      <w:r>
        <w:rPr>
          <w:rFonts w:hint="eastAsia" w:ascii="楷体" w:hAnsi="楷体" w:eastAsia="楷体" w:cs="楷体"/>
          <w:b/>
          <w:bCs/>
          <w:kern w:val="2"/>
          <w:sz w:val="32"/>
          <w:szCs w:val="32"/>
        </w:rPr>
        <w:t>2.3升学情况</w:t>
      </w:r>
    </w:p>
    <w:p>
      <w:pPr>
        <w:pStyle w:val="12"/>
        <w:shd w:val="clear" w:color="auto" w:fill="FFFFFF"/>
        <w:spacing w:before="0" w:beforeAutospacing="0" w:after="0" w:afterAutospacing="0"/>
        <w:ind w:firstLine="636" w:firstLineChars="199"/>
        <w:rPr>
          <w:rFonts w:ascii="仿宋" w:hAnsi="仿宋" w:eastAsia="仿宋"/>
          <w:sz w:val="32"/>
          <w:szCs w:val="32"/>
        </w:rPr>
      </w:pPr>
      <w:r>
        <w:rPr>
          <w:rFonts w:hint="eastAsia" w:ascii="仿宋_GB2312" w:hAnsi="仿宋_GB2312" w:eastAsia="仿宋_GB2312" w:cs="仿宋_GB2312"/>
          <w:sz w:val="32"/>
          <w:szCs w:val="32"/>
        </w:rPr>
        <w:t>郑州市不断完善技术技能人才立交桥，</w:t>
      </w:r>
      <w:r>
        <w:rPr>
          <w:rFonts w:hint="eastAsia" w:ascii="仿宋" w:hAnsi="仿宋" w:eastAsia="仿宋"/>
          <w:sz w:val="32"/>
          <w:szCs w:val="32"/>
        </w:rPr>
        <w:t>积极</w:t>
      </w:r>
      <w:r>
        <w:rPr>
          <w:rFonts w:ascii="仿宋" w:hAnsi="仿宋" w:eastAsia="仿宋"/>
          <w:sz w:val="32"/>
          <w:szCs w:val="32"/>
        </w:rPr>
        <w:t>做好中高职衔接，鼓励、引导中职学生</w:t>
      </w:r>
      <w:r>
        <w:rPr>
          <w:rFonts w:hint="eastAsia" w:ascii="仿宋" w:hAnsi="仿宋" w:eastAsia="仿宋"/>
          <w:sz w:val="32"/>
          <w:szCs w:val="32"/>
        </w:rPr>
        <w:t>升学</w:t>
      </w:r>
      <w:r>
        <w:rPr>
          <w:rFonts w:ascii="仿宋" w:hAnsi="仿宋" w:eastAsia="仿宋"/>
          <w:sz w:val="32"/>
          <w:szCs w:val="32"/>
        </w:rPr>
        <w:t>继续深造。</w:t>
      </w:r>
      <w:r>
        <w:rPr>
          <w:rFonts w:hint="eastAsia" w:ascii="仿宋_GB2312" w:hAnsi="仿宋_GB2312" w:eastAsia="仿宋_GB2312" w:cs="仿宋_GB2312"/>
          <w:sz w:val="32"/>
          <w:szCs w:val="32"/>
        </w:rPr>
        <w:t>通过高职扩招、3+2分段培养、五年一贯制培养、对口升学、单独招生等政策，不断扩大优质职业教育资源供给，进一步拓宽中职学生升学渠道，郑州市中职毕业生升入高一级学校继续学习的学生数量和比例进一步增大。</w:t>
      </w:r>
      <w:r>
        <w:rPr>
          <w:rFonts w:ascii="仿宋" w:hAnsi="仿宋" w:eastAsia="仿宋"/>
          <w:sz w:val="32"/>
          <w:szCs w:val="32"/>
        </w:rPr>
        <w:t>20</w:t>
      </w:r>
      <w:r>
        <w:rPr>
          <w:rFonts w:hint="eastAsia" w:ascii="仿宋" w:hAnsi="仿宋" w:eastAsia="仿宋"/>
          <w:sz w:val="32"/>
          <w:szCs w:val="32"/>
        </w:rPr>
        <w:t>19</w:t>
      </w:r>
      <w:r>
        <w:rPr>
          <w:rFonts w:ascii="仿宋" w:hAnsi="仿宋" w:eastAsia="仿宋"/>
          <w:sz w:val="32"/>
          <w:szCs w:val="32"/>
        </w:rPr>
        <w:t>-20</w:t>
      </w:r>
      <w:r>
        <w:rPr>
          <w:rFonts w:hint="eastAsia" w:ascii="仿宋" w:hAnsi="仿宋" w:eastAsia="仿宋"/>
          <w:sz w:val="32"/>
          <w:szCs w:val="32"/>
        </w:rPr>
        <w:t>20</w:t>
      </w:r>
      <w:r>
        <w:rPr>
          <w:rFonts w:ascii="仿宋" w:hAnsi="仿宋" w:eastAsia="仿宋"/>
          <w:sz w:val="32"/>
          <w:szCs w:val="32"/>
        </w:rPr>
        <w:t>学年度，</w:t>
      </w:r>
      <w:r>
        <w:rPr>
          <w:rFonts w:hint="eastAsia" w:ascii="仿宋" w:hAnsi="仿宋" w:eastAsia="仿宋"/>
          <w:sz w:val="32"/>
          <w:szCs w:val="32"/>
        </w:rPr>
        <w:t>郑州</w:t>
      </w:r>
      <w:r>
        <w:rPr>
          <w:rFonts w:ascii="仿宋" w:hAnsi="仿宋" w:eastAsia="仿宋"/>
          <w:sz w:val="32"/>
          <w:szCs w:val="32"/>
        </w:rPr>
        <w:t>市中职学校毕业生共计</w:t>
      </w:r>
      <w:r>
        <w:rPr>
          <w:rFonts w:hint="eastAsia" w:ascii="仿宋" w:hAnsi="仿宋" w:eastAsia="仿宋"/>
          <w:sz w:val="32"/>
          <w:szCs w:val="32"/>
        </w:rPr>
        <w:t>5.3万</w:t>
      </w:r>
      <w:r>
        <w:rPr>
          <w:rFonts w:ascii="仿宋" w:hAnsi="仿宋" w:eastAsia="仿宋"/>
          <w:sz w:val="32"/>
          <w:szCs w:val="32"/>
        </w:rPr>
        <w:t>人，升入高一级学校</w:t>
      </w:r>
      <w:r>
        <w:rPr>
          <w:rFonts w:hint="eastAsia" w:ascii="仿宋" w:hAnsi="仿宋" w:eastAsia="仿宋"/>
          <w:sz w:val="32"/>
          <w:szCs w:val="32"/>
        </w:rPr>
        <w:t>有2.37万</w:t>
      </w:r>
      <w:r>
        <w:rPr>
          <w:rFonts w:ascii="仿宋" w:hAnsi="仿宋" w:eastAsia="仿宋"/>
          <w:sz w:val="32"/>
          <w:szCs w:val="32"/>
        </w:rPr>
        <w:t>人，占毕业生总数的</w:t>
      </w:r>
      <w:r>
        <w:rPr>
          <w:rFonts w:hint="eastAsia" w:ascii="仿宋" w:hAnsi="仿宋" w:eastAsia="仿宋"/>
          <w:sz w:val="32"/>
          <w:szCs w:val="32"/>
        </w:rPr>
        <w:t>44.7</w:t>
      </w:r>
      <w:r>
        <w:rPr>
          <w:rFonts w:ascii="仿宋" w:hAnsi="仿宋" w:eastAsia="仿宋"/>
          <w:sz w:val="32"/>
          <w:szCs w:val="32"/>
        </w:rPr>
        <w:t>%。其中，</w:t>
      </w:r>
      <w:r>
        <w:rPr>
          <w:rFonts w:hint="eastAsia" w:ascii="仿宋" w:hAnsi="仿宋" w:eastAsia="仿宋"/>
          <w:sz w:val="32"/>
          <w:szCs w:val="32"/>
        </w:rPr>
        <w:t>升入专科的人数为2.22万人，占毕业生比例41.8</w:t>
      </w:r>
      <w:r>
        <w:rPr>
          <w:rFonts w:hint="eastAsia" w:ascii="仿宋_GB2312" w:hAnsi="仿宋_GB2312" w:eastAsia="仿宋_GB2312" w:cs="仿宋_GB2312"/>
          <w:sz w:val="32"/>
          <w:szCs w:val="32"/>
        </w:rPr>
        <w:t>%，</w:t>
      </w:r>
      <w:r>
        <w:rPr>
          <w:rFonts w:hint="eastAsia" w:ascii="仿宋" w:hAnsi="仿宋" w:eastAsia="仿宋"/>
          <w:sz w:val="32"/>
          <w:szCs w:val="32"/>
        </w:rPr>
        <w:t>升入本科的人数为848人，占毕业生比例1.5</w:t>
      </w:r>
      <w:r>
        <w:rPr>
          <w:rFonts w:hint="eastAsia" w:ascii="仿宋_GB2312" w:hAnsi="仿宋_GB2312" w:eastAsia="仿宋_GB2312" w:cs="仿宋_GB2312"/>
          <w:sz w:val="32"/>
          <w:szCs w:val="32"/>
        </w:rPr>
        <w:t>%，</w:t>
      </w:r>
      <w:r>
        <w:rPr>
          <w:rFonts w:hint="eastAsia" w:ascii="仿宋" w:hAnsi="仿宋" w:eastAsia="仿宋"/>
          <w:sz w:val="32"/>
          <w:szCs w:val="32"/>
        </w:rPr>
        <w:t>通过</w:t>
      </w:r>
      <w:r>
        <w:rPr>
          <w:rFonts w:ascii="仿宋" w:hAnsi="仿宋" w:eastAsia="仿宋"/>
          <w:sz w:val="32"/>
          <w:szCs w:val="32"/>
        </w:rPr>
        <w:t>其他方式升学人数为</w:t>
      </w:r>
      <w:r>
        <w:rPr>
          <w:rFonts w:hint="eastAsia" w:ascii="仿宋" w:hAnsi="仿宋" w:eastAsia="仿宋"/>
          <w:sz w:val="32"/>
          <w:szCs w:val="32"/>
        </w:rPr>
        <w:t>49</w:t>
      </w:r>
      <w:r>
        <w:rPr>
          <w:rFonts w:ascii="仿宋" w:hAnsi="仿宋" w:eastAsia="仿宋"/>
          <w:sz w:val="32"/>
          <w:szCs w:val="32"/>
        </w:rPr>
        <w:t>人</w:t>
      </w:r>
      <w:r>
        <w:rPr>
          <w:rFonts w:hint="eastAsia" w:ascii="仿宋" w:hAnsi="仿宋" w:eastAsia="仿宋"/>
          <w:sz w:val="32"/>
          <w:szCs w:val="32"/>
        </w:rPr>
        <w:t>，与去年基本持平</w:t>
      </w:r>
      <w:r>
        <w:rPr>
          <w:rFonts w:ascii="仿宋" w:hAnsi="仿宋" w:eastAsia="仿宋"/>
          <w:sz w:val="32"/>
          <w:szCs w:val="32"/>
        </w:rPr>
        <w:t>。</w:t>
      </w:r>
    </w:p>
    <w:p>
      <w:pPr>
        <w:jc w:val="center"/>
        <w:rPr>
          <w:rFonts w:ascii="黑体" w:hAnsi="黑体" w:eastAsia="黑体" w:cs="黑体"/>
          <w:sz w:val="36"/>
          <w:szCs w:val="36"/>
        </w:rPr>
      </w:pPr>
      <w:bookmarkStart w:id="49" w:name="_Toc16160"/>
    </w:p>
    <w:p>
      <w:pPr>
        <w:jc w:val="center"/>
        <w:rPr>
          <w:rFonts w:ascii="楷体" w:hAnsi="楷体" w:eastAsia="楷体" w:cs="楷体"/>
          <w:b/>
          <w:bCs/>
          <w:sz w:val="32"/>
          <w:szCs w:val="32"/>
        </w:rPr>
      </w:pPr>
      <w:bookmarkStart w:id="50" w:name="_Toc21822_WPSOffice_Level1"/>
      <w:bookmarkStart w:id="51" w:name="_Toc10204_WPSOffice_Level1"/>
      <w:r>
        <w:rPr>
          <w:rFonts w:hint="eastAsia" w:ascii="黑体" w:hAnsi="黑体" w:eastAsia="黑体" w:cs="黑体"/>
          <w:sz w:val="36"/>
          <w:szCs w:val="36"/>
        </w:rPr>
        <w:t>第三部分  质量保障措施</w:t>
      </w:r>
      <w:bookmarkEnd w:id="49"/>
      <w:bookmarkEnd w:id="50"/>
      <w:bookmarkEnd w:id="51"/>
      <w:bookmarkStart w:id="52" w:name="_Toc13383"/>
    </w:p>
    <w:p>
      <w:pPr>
        <w:ind w:firstLine="643" w:firstLineChars="200"/>
        <w:rPr>
          <w:rFonts w:ascii="仿宋" w:hAnsi="仿宋" w:eastAsia="仿宋" w:cs="仿宋"/>
          <w:sz w:val="32"/>
          <w:szCs w:val="32"/>
        </w:rPr>
      </w:pPr>
      <w:bookmarkStart w:id="53" w:name="_Toc14652_WPSOffice_Level2"/>
      <w:bookmarkStart w:id="54" w:name="_Toc27472_WPSOffice_Level2"/>
      <w:bookmarkStart w:id="55" w:name="_Toc30206_WPSOffice_Level2"/>
      <w:r>
        <w:rPr>
          <w:rFonts w:hint="eastAsia" w:ascii="楷体" w:hAnsi="楷体" w:eastAsia="楷体" w:cs="楷体"/>
          <w:b/>
          <w:bCs/>
          <w:sz w:val="32"/>
          <w:szCs w:val="32"/>
        </w:rPr>
        <w:t>3.1专业布局</w:t>
      </w:r>
      <w:bookmarkEnd w:id="52"/>
      <w:bookmarkEnd w:id="53"/>
      <w:bookmarkEnd w:id="54"/>
      <w:bookmarkEnd w:id="55"/>
    </w:p>
    <w:p>
      <w:pPr>
        <w:widowControl w:val="0"/>
        <w:ind w:firstLine="643" w:firstLineChars="200"/>
        <w:jc w:val="left"/>
        <w:rPr>
          <w:rFonts w:ascii="仿宋_GB2312" w:hAnsi="仿宋_GB2312" w:eastAsia="仿宋_GB2312" w:cs="仿宋_GB2312"/>
          <w:sz w:val="32"/>
          <w:szCs w:val="32"/>
        </w:rPr>
      </w:pPr>
      <w:r>
        <w:rPr>
          <w:rFonts w:hint="eastAsia" w:ascii="仿宋_GB2312" w:hAnsi="仿宋_GB2312" w:eastAsia="仿宋_GB2312" w:cs="仿宋_GB2312"/>
          <w:b/>
          <w:sz w:val="32"/>
          <w:szCs w:val="32"/>
        </w:rPr>
        <w:t>专业设置覆盖面广，满足经济社会发展需求。</w:t>
      </w:r>
      <w:r>
        <w:rPr>
          <w:rFonts w:hint="eastAsia" w:ascii="仿宋_GB2312" w:hAnsi="仿宋_GB2312" w:eastAsia="仿宋_GB2312" w:cs="仿宋_GB2312"/>
          <w:sz w:val="32"/>
          <w:szCs w:val="32"/>
        </w:rPr>
        <w:t>郑州市各中职学校现开设农林牧渔、能源与新能源、土木水利、加工制造、石油化工、轻纺食品、交通运输、信息技术、医药卫生、休闲保健、财经商贸、旅游服务、文化艺术、体育健身、教育、公共管理与服务等17个专业类140个专业。与2019年相比，减少资源环境、司法服务两个专业大类。第一、二、三产业所对应专业大类开设数量分别是1个、5个、10个，比例为6:31:63；所对应的在校生人数分别是4334人、15557人、196939人，比例为2:7:91，第一产业略有降低，第三产业略有升高，与郑州产业结构相吻合。</w:t>
      </w:r>
    </w:p>
    <w:p/>
    <w:p>
      <w:pPr>
        <w:widowControl w:val="0"/>
        <w:jc w:val="center"/>
        <w:rPr>
          <w:rFonts w:ascii="仿宋_GB2312" w:hAnsi="仿宋_GB2312" w:eastAsia="仿宋_GB2312" w:cs="仿宋_GB2312"/>
          <w:sz w:val="32"/>
          <w:szCs w:val="32"/>
        </w:rPr>
      </w:pPr>
      <w:r>
        <w:rPr>
          <w:rFonts w:hint="eastAsia" w:ascii="黑体" w:hAnsi="黑体" w:eastAsia="黑体"/>
          <w:sz w:val="28"/>
          <w:szCs w:val="28"/>
        </w:rPr>
        <w:t>表3-1：2020年郑州市中等职业学校专业布局情况表</w:t>
      </w:r>
      <w:r>
        <w:rPr>
          <w:rFonts w:hint="eastAsia" w:asciiTheme="minorEastAsia" w:hAnsiTheme="minorEastAsia" w:eastAsiaTheme="minorEastAsia" w:cstheme="minorEastAsia"/>
          <w:sz w:val="24"/>
          <w:szCs w:val="24"/>
        </w:rPr>
        <w:t>（单位：人）</w:t>
      </w:r>
    </w:p>
    <w:tbl>
      <w:tblPr>
        <w:tblStyle w:val="14"/>
        <w:tblW w:w="893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677"/>
        <w:gridCol w:w="1999"/>
        <w:gridCol w:w="1276"/>
        <w:gridCol w:w="1261"/>
        <w:gridCol w:w="985"/>
        <w:gridCol w:w="1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shd w:val="clear" w:color="auto" w:fill="D9E2F3" w:themeFill="accent5" w:themeFillTint="33"/>
            <w:vAlign w:val="center"/>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序号</w:t>
            </w:r>
          </w:p>
        </w:tc>
        <w:tc>
          <w:tcPr>
            <w:tcW w:w="1677" w:type="dxa"/>
            <w:shd w:val="clear" w:color="auto" w:fill="D9E2F3" w:themeFill="accent5" w:themeFillTint="33"/>
            <w:vAlign w:val="center"/>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产业分类</w:t>
            </w:r>
          </w:p>
        </w:tc>
        <w:tc>
          <w:tcPr>
            <w:tcW w:w="1999" w:type="dxa"/>
            <w:shd w:val="clear" w:color="auto" w:fill="D9E2F3" w:themeFill="accent5" w:themeFillTint="33"/>
            <w:vAlign w:val="center"/>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专业大类名称</w:t>
            </w:r>
          </w:p>
        </w:tc>
        <w:tc>
          <w:tcPr>
            <w:tcW w:w="1276" w:type="dxa"/>
            <w:shd w:val="clear" w:color="auto" w:fill="D9E2F3" w:themeFill="accent5" w:themeFillTint="33"/>
            <w:vAlign w:val="center"/>
          </w:tcPr>
          <w:p>
            <w:pPr>
              <w:widowControl w:val="0"/>
              <w:spacing w:line="360" w:lineRule="auto"/>
              <w:jc w:val="center"/>
            </w:pPr>
            <w:r>
              <w:rPr>
                <w:rFonts w:hint="eastAsia" w:asciiTheme="minorEastAsia" w:hAnsiTheme="minorEastAsia" w:eastAsiaTheme="minorEastAsia" w:cstheme="minorEastAsia"/>
                <w:sz w:val="24"/>
                <w:szCs w:val="24"/>
              </w:rPr>
              <w:t>2018级在校生</w:t>
            </w:r>
          </w:p>
        </w:tc>
        <w:tc>
          <w:tcPr>
            <w:tcW w:w="1261" w:type="dxa"/>
            <w:shd w:val="clear" w:color="auto" w:fill="D9E2F3" w:themeFill="accent5" w:themeFillTint="33"/>
            <w:vAlign w:val="center"/>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2019级在校生</w:t>
            </w:r>
          </w:p>
        </w:tc>
        <w:tc>
          <w:tcPr>
            <w:tcW w:w="985" w:type="dxa"/>
            <w:shd w:val="clear" w:color="auto" w:fill="D9E2F3" w:themeFill="accent5" w:themeFillTint="33"/>
            <w:vAlign w:val="center"/>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2020级在校生</w:t>
            </w:r>
          </w:p>
        </w:tc>
        <w:tc>
          <w:tcPr>
            <w:tcW w:w="1014" w:type="dxa"/>
            <w:shd w:val="clear" w:color="auto" w:fill="D9E2F3" w:themeFill="accent5" w:themeFillTint="33"/>
            <w:vAlign w:val="center"/>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shd w:val="clear" w:color="auto" w:fill="D9E2F3" w:themeFill="accent5" w:themeFillTint="33"/>
            <w:vAlign w:val="center"/>
          </w:tcPr>
          <w:p>
            <w:pPr>
              <w:widowControl w:val="0"/>
              <w:spacing w:line="360" w:lineRule="auto"/>
              <w:jc w:val="center"/>
              <w:rPr>
                <w:rFonts w:asciiTheme="minorEastAsia" w:hAnsiTheme="minorEastAsia" w:eastAsiaTheme="minorEastAsia" w:cstheme="minorEastAsia"/>
                <w:sz w:val="24"/>
                <w:szCs w:val="24"/>
              </w:rPr>
            </w:pPr>
            <w:r>
              <w:rPr>
                <w:rFonts w:hint="eastAsia" w:ascii="宋体" w:hAnsi="宋体"/>
                <w:sz w:val="24"/>
                <w:szCs w:val="24"/>
              </w:rPr>
              <w:t>1</w:t>
            </w:r>
          </w:p>
        </w:tc>
        <w:tc>
          <w:tcPr>
            <w:tcW w:w="1677" w:type="dxa"/>
            <w:vMerge w:val="restart"/>
            <w:shd w:val="clear" w:color="auto" w:fill="C5E0B3" w:themeFill="accent6" w:themeFillTint="66"/>
            <w:vAlign w:val="center"/>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第一产业</w:t>
            </w:r>
          </w:p>
        </w:tc>
        <w:tc>
          <w:tcPr>
            <w:tcW w:w="1999" w:type="dxa"/>
            <w:shd w:val="clear" w:color="auto" w:fill="C5E0B3" w:themeFill="accent6" w:themeFillTint="66"/>
          </w:tcPr>
          <w:p>
            <w:pPr>
              <w:widowControl w:val="0"/>
              <w:spacing w:line="360" w:lineRule="auto"/>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农林牧渔</w:t>
            </w:r>
          </w:p>
        </w:tc>
        <w:tc>
          <w:tcPr>
            <w:tcW w:w="1276"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asciiTheme="minorEastAsia" w:hAnsiTheme="minorEastAsia" w:eastAsiaTheme="minorEastAsia" w:cstheme="minorEastAsia"/>
                <w:sz w:val="24"/>
                <w:szCs w:val="24"/>
              </w:rPr>
              <w:t>16</w:t>
            </w:r>
            <w:r>
              <w:rPr>
                <w:rFonts w:hint="eastAsia" w:asciiTheme="minorEastAsia" w:hAnsiTheme="minorEastAsia" w:eastAsiaTheme="minorEastAsia" w:cstheme="minorEastAsia"/>
                <w:sz w:val="24"/>
                <w:szCs w:val="24"/>
              </w:rPr>
              <w:t>11</w:t>
            </w:r>
          </w:p>
        </w:tc>
        <w:tc>
          <w:tcPr>
            <w:tcW w:w="1261"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1747</w:t>
            </w:r>
          </w:p>
        </w:tc>
        <w:tc>
          <w:tcPr>
            <w:tcW w:w="985"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976</w:t>
            </w:r>
          </w:p>
        </w:tc>
        <w:tc>
          <w:tcPr>
            <w:tcW w:w="1014"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4334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shd w:val="clear" w:color="auto" w:fill="D9E2F3" w:themeFill="accent5" w:themeFillTint="33"/>
            <w:vAlign w:val="center"/>
          </w:tcPr>
          <w:p>
            <w:pPr>
              <w:widowControl w:val="0"/>
              <w:spacing w:line="360" w:lineRule="auto"/>
              <w:jc w:val="center"/>
              <w:rPr>
                <w:rFonts w:asciiTheme="minorEastAsia" w:hAnsiTheme="minorEastAsia" w:eastAsiaTheme="minorEastAsia" w:cstheme="minorEastAsia"/>
                <w:sz w:val="24"/>
                <w:szCs w:val="24"/>
              </w:rPr>
            </w:pPr>
            <w:r>
              <w:rPr>
                <w:rFonts w:hint="eastAsia" w:ascii="宋体" w:hAnsi="宋体"/>
                <w:sz w:val="24"/>
                <w:szCs w:val="24"/>
              </w:rPr>
              <w:t>2</w:t>
            </w:r>
          </w:p>
        </w:tc>
        <w:tc>
          <w:tcPr>
            <w:tcW w:w="1677" w:type="dxa"/>
            <w:vMerge w:val="continue"/>
            <w:shd w:val="clear" w:color="auto" w:fill="C5E0B3" w:themeFill="accent6" w:themeFillTint="66"/>
            <w:vAlign w:val="center"/>
          </w:tcPr>
          <w:p>
            <w:pPr>
              <w:widowControl w:val="0"/>
              <w:spacing w:line="360" w:lineRule="auto"/>
              <w:jc w:val="center"/>
              <w:rPr>
                <w:rFonts w:asciiTheme="minorEastAsia" w:hAnsiTheme="minorEastAsia" w:eastAsiaTheme="minorEastAsia" w:cstheme="minorEastAsia"/>
                <w:sz w:val="24"/>
                <w:szCs w:val="24"/>
              </w:rPr>
            </w:pPr>
          </w:p>
        </w:tc>
        <w:tc>
          <w:tcPr>
            <w:tcW w:w="1999" w:type="dxa"/>
            <w:shd w:val="clear" w:color="auto" w:fill="C5E0B3" w:themeFill="accent6" w:themeFillTint="66"/>
          </w:tcPr>
          <w:p>
            <w:pPr>
              <w:widowControl w:val="0"/>
              <w:spacing w:line="360" w:lineRule="auto"/>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资源环境</w:t>
            </w:r>
          </w:p>
        </w:tc>
        <w:tc>
          <w:tcPr>
            <w:tcW w:w="1276"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asciiTheme="minorEastAsia" w:hAnsiTheme="minorEastAsia" w:eastAsiaTheme="minorEastAsia" w:cstheme="minorEastAsia"/>
                <w:sz w:val="24"/>
                <w:szCs w:val="24"/>
              </w:rPr>
              <w:t>0</w:t>
            </w:r>
          </w:p>
        </w:tc>
        <w:tc>
          <w:tcPr>
            <w:tcW w:w="1261"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asciiTheme="minorEastAsia" w:hAnsiTheme="minorEastAsia" w:eastAsiaTheme="minorEastAsia" w:cstheme="minorEastAsia"/>
                <w:sz w:val="24"/>
                <w:szCs w:val="24"/>
              </w:rPr>
              <w:t>0</w:t>
            </w:r>
          </w:p>
        </w:tc>
        <w:tc>
          <w:tcPr>
            <w:tcW w:w="985"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0</w:t>
            </w:r>
          </w:p>
        </w:tc>
        <w:tc>
          <w:tcPr>
            <w:tcW w:w="1014"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shd w:val="clear" w:color="auto" w:fill="D9E2F3" w:themeFill="accent5" w:themeFillTint="33"/>
            <w:vAlign w:val="center"/>
          </w:tcPr>
          <w:p>
            <w:pPr>
              <w:widowControl w:val="0"/>
              <w:spacing w:line="360" w:lineRule="auto"/>
              <w:jc w:val="center"/>
              <w:rPr>
                <w:rFonts w:asciiTheme="minorEastAsia" w:hAnsiTheme="minorEastAsia" w:eastAsiaTheme="minorEastAsia" w:cstheme="minorEastAsia"/>
                <w:sz w:val="24"/>
                <w:szCs w:val="24"/>
              </w:rPr>
            </w:pPr>
            <w:r>
              <w:rPr>
                <w:rFonts w:hint="eastAsia" w:ascii="宋体" w:hAnsi="宋体"/>
                <w:sz w:val="24"/>
                <w:szCs w:val="24"/>
              </w:rPr>
              <w:t>3</w:t>
            </w:r>
          </w:p>
        </w:tc>
        <w:tc>
          <w:tcPr>
            <w:tcW w:w="1677" w:type="dxa"/>
            <w:vMerge w:val="restart"/>
            <w:shd w:val="clear" w:color="auto" w:fill="C5E0B3" w:themeFill="accent6" w:themeFillTint="66"/>
            <w:vAlign w:val="center"/>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第二产业</w:t>
            </w:r>
          </w:p>
        </w:tc>
        <w:tc>
          <w:tcPr>
            <w:tcW w:w="1999" w:type="dxa"/>
            <w:shd w:val="clear" w:color="auto" w:fill="C5E0B3" w:themeFill="accent6" w:themeFillTint="66"/>
          </w:tcPr>
          <w:p>
            <w:pPr>
              <w:widowControl w:val="0"/>
              <w:spacing w:line="360" w:lineRule="auto"/>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能源与新能源类</w:t>
            </w:r>
          </w:p>
        </w:tc>
        <w:tc>
          <w:tcPr>
            <w:tcW w:w="1276"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asciiTheme="minorEastAsia" w:hAnsiTheme="minorEastAsia" w:eastAsiaTheme="minorEastAsia" w:cstheme="minorEastAsia"/>
                <w:sz w:val="24"/>
                <w:szCs w:val="24"/>
              </w:rPr>
              <w:t>137</w:t>
            </w:r>
          </w:p>
        </w:tc>
        <w:tc>
          <w:tcPr>
            <w:tcW w:w="1261"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155</w:t>
            </w:r>
          </w:p>
        </w:tc>
        <w:tc>
          <w:tcPr>
            <w:tcW w:w="985"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396</w:t>
            </w:r>
          </w:p>
        </w:tc>
        <w:tc>
          <w:tcPr>
            <w:tcW w:w="1014"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shd w:val="clear" w:color="auto" w:fill="D9E2F3" w:themeFill="accent5" w:themeFillTint="33"/>
            <w:vAlign w:val="center"/>
          </w:tcPr>
          <w:p>
            <w:pPr>
              <w:widowControl w:val="0"/>
              <w:spacing w:line="360" w:lineRule="auto"/>
              <w:jc w:val="center"/>
              <w:rPr>
                <w:rFonts w:asciiTheme="minorEastAsia" w:hAnsiTheme="minorEastAsia" w:eastAsiaTheme="minorEastAsia" w:cstheme="minorEastAsia"/>
                <w:sz w:val="24"/>
                <w:szCs w:val="24"/>
              </w:rPr>
            </w:pPr>
            <w:r>
              <w:rPr>
                <w:rFonts w:hint="eastAsia" w:ascii="宋体" w:hAnsi="宋体"/>
                <w:sz w:val="24"/>
                <w:szCs w:val="24"/>
              </w:rPr>
              <w:t>4</w:t>
            </w:r>
          </w:p>
        </w:tc>
        <w:tc>
          <w:tcPr>
            <w:tcW w:w="1677" w:type="dxa"/>
            <w:vMerge w:val="continue"/>
            <w:shd w:val="clear" w:color="auto" w:fill="C5E0B3" w:themeFill="accent6" w:themeFillTint="66"/>
            <w:vAlign w:val="center"/>
          </w:tcPr>
          <w:p>
            <w:pPr>
              <w:widowControl w:val="0"/>
              <w:spacing w:line="360" w:lineRule="auto"/>
              <w:rPr>
                <w:rFonts w:asciiTheme="minorEastAsia" w:hAnsiTheme="minorEastAsia" w:eastAsiaTheme="minorEastAsia" w:cstheme="minorEastAsia"/>
                <w:sz w:val="24"/>
                <w:szCs w:val="24"/>
              </w:rPr>
            </w:pPr>
          </w:p>
        </w:tc>
        <w:tc>
          <w:tcPr>
            <w:tcW w:w="1999" w:type="dxa"/>
            <w:shd w:val="clear" w:color="auto" w:fill="C5E0B3" w:themeFill="accent6" w:themeFillTint="66"/>
          </w:tcPr>
          <w:p>
            <w:pPr>
              <w:widowControl w:val="0"/>
              <w:spacing w:line="360" w:lineRule="auto"/>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土木水利</w:t>
            </w:r>
          </w:p>
        </w:tc>
        <w:tc>
          <w:tcPr>
            <w:tcW w:w="1276"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rPr>
              <w:t>391</w:t>
            </w:r>
          </w:p>
        </w:tc>
        <w:tc>
          <w:tcPr>
            <w:tcW w:w="1261"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1751</w:t>
            </w:r>
          </w:p>
        </w:tc>
        <w:tc>
          <w:tcPr>
            <w:tcW w:w="985"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1956</w:t>
            </w:r>
          </w:p>
        </w:tc>
        <w:tc>
          <w:tcPr>
            <w:tcW w:w="1014"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shd w:val="clear" w:color="auto" w:fill="D9E2F3" w:themeFill="accent5" w:themeFillTint="33"/>
            <w:vAlign w:val="center"/>
          </w:tcPr>
          <w:p>
            <w:pPr>
              <w:widowControl w:val="0"/>
              <w:spacing w:line="360" w:lineRule="auto"/>
              <w:jc w:val="center"/>
              <w:rPr>
                <w:rFonts w:asciiTheme="minorEastAsia" w:hAnsiTheme="minorEastAsia" w:eastAsiaTheme="minorEastAsia" w:cstheme="minorEastAsia"/>
                <w:sz w:val="24"/>
                <w:szCs w:val="24"/>
              </w:rPr>
            </w:pPr>
            <w:r>
              <w:rPr>
                <w:rFonts w:hint="eastAsia" w:ascii="宋体" w:hAnsi="宋体"/>
                <w:sz w:val="24"/>
                <w:szCs w:val="24"/>
              </w:rPr>
              <w:t>5</w:t>
            </w:r>
          </w:p>
        </w:tc>
        <w:tc>
          <w:tcPr>
            <w:tcW w:w="1677" w:type="dxa"/>
            <w:vMerge w:val="continue"/>
            <w:shd w:val="clear" w:color="auto" w:fill="C5E0B3" w:themeFill="accent6" w:themeFillTint="66"/>
            <w:vAlign w:val="center"/>
          </w:tcPr>
          <w:p>
            <w:pPr>
              <w:widowControl w:val="0"/>
              <w:spacing w:line="360" w:lineRule="auto"/>
              <w:rPr>
                <w:rFonts w:asciiTheme="minorEastAsia" w:hAnsiTheme="minorEastAsia" w:eastAsiaTheme="minorEastAsia" w:cstheme="minorEastAsia"/>
                <w:sz w:val="24"/>
                <w:szCs w:val="24"/>
              </w:rPr>
            </w:pPr>
          </w:p>
        </w:tc>
        <w:tc>
          <w:tcPr>
            <w:tcW w:w="1999" w:type="dxa"/>
            <w:shd w:val="clear" w:color="auto" w:fill="C5E0B3" w:themeFill="accent6" w:themeFillTint="66"/>
          </w:tcPr>
          <w:p>
            <w:pPr>
              <w:widowControl w:val="0"/>
              <w:spacing w:line="360" w:lineRule="auto"/>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加工制造</w:t>
            </w:r>
          </w:p>
        </w:tc>
        <w:tc>
          <w:tcPr>
            <w:tcW w:w="1276"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asciiTheme="minorEastAsia" w:hAnsiTheme="minorEastAsia" w:eastAsiaTheme="minorEastAsia" w:cstheme="minorEastAsia"/>
                <w:sz w:val="24"/>
                <w:szCs w:val="24"/>
              </w:rPr>
              <w:t>31</w:t>
            </w:r>
            <w:r>
              <w:rPr>
                <w:rFonts w:hint="eastAsia" w:asciiTheme="minorEastAsia" w:hAnsiTheme="minorEastAsia" w:eastAsiaTheme="minorEastAsia" w:cstheme="minorEastAsia"/>
                <w:sz w:val="24"/>
                <w:szCs w:val="24"/>
              </w:rPr>
              <w:t>35</w:t>
            </w:r>
          </w:p>
        </w:tc>
        <w:tc>
          <w:tcPr>
            <w:tcW w:w="1261"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2859</w:t>
            </w:r>
          </w:p>
        </w:tc>
        <w:tc>
          <w:tcPr>
            <w:tcW w:w="985"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3686</w:t>
            </w:r>
          </w:p>
        </w:tc>
        <w:tc>
          <w:tcPr>
            <w:tcW w:w="1014"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shd w:val="clear" w:color="auto" w:fill="D9E2F3" w:themeFill="accent5" w:themeFillTint="33"/>
            <w:vAlign w:val="center"/>
          </w:tcPr>
          <w:p>
            <w:pPr>
              <w:widowControl w:val="0"/>
              <w:spacing w:line="360" w:lineRule="auto"/>
              <w:jc w:val="center"/>
              <w:rPr>
                <w:rFonts w:asciiTheme="minorEastAsia" w:hAnsiTheme="minorEastAsia" w:eastAsiaTheme="minorEastAsia" w:cstheme="minorEastAsia"/>
                <w:sz w:val="24"/>
                <w:szCs w:val="24"/>
              </w:rPr>
            </w:pPr>
            <w:r>
              <w:rPr>
                <w:rFonts w:hint="eastAsia" w:ascii="宋体" w:hAnsi="宋体"/>
                <w:sz w:val="24"/>
                <w:szCs w:val="24"/>
              </w:rPr>
              <w:t>6</w:t>
            </w:r>
          </w:p>
        </w:tc>
        <w:tc>
          <w:tcPr>
            <w:tcW w:w="1677" w:type="dxa"/>
            <w:vMerge w:val="continue"/>
            <w:shd w:val="clear" w:color="auto" w:fill="C5E0B3" w:themeFill="accent6" w:themeFillTint="66"/>
            <w:vAlign w:val="center"/>
          </w:tcPr>
          <w:p>
            <w:pPr>
              <w:widowControl w:val="0"/>
              <w:spacing w:line="360" w:lineRule="auto"/>
              <w:rPr>
                <w:rFonts w:asciiTheme="minorEastAsia" w:hAnsiTheme="minorEastAsia" w:eastAsiaTheme="minorEastAsia" w:cstheme="minorEastAsia"/>
                <w:sz w:val="24"/>
                <w:szCs w:val="24"/>
              </w:rPr>
            </w:pPr>
          </w:p>
        </w:tc>
        <w:tc>
          <w:tcPr>
            <w:tcW w:w="1999" w:type="dxa"/>
            <w:shd w:val="clear" w:color="auto" w:fill="C5E0B3" w:themeFill="accent6" w:themeFillTint="66"/>
          </w:tcPr>
          <w:p>
            <w:pPr>
              <w:widowControl w:val="0"/>
              <w:spacing w:line="360" w:lineRule="auto"/>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石油化工</w:t>
            </w:r>
          </w:p>
        </w:tc>
        <w:tc>
          <w:tcPr>
            <w:tcW w:w="1276"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asciiTheme="minorEastAsia" w:hAnsiTheme="minorEastAsia" w:eastAsiaTheme="minorEastAsia" w:cstheme="minorEastAsia"/>
                <w:sz w:val="24"/>
                <w:szCs w:val="24"/>
              </w:rPr>
              <w:t>7</w:t>
            </w:r>
          </w:p>
        </w:tc>
        <w:tc>
          <w:tcPr>
            <w:tcW w:w="1261"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asciiTheme="minorEastAsia" w:hAnsiTheme="minorEastAsia" w:eastAsiaTheme="minorEastAsia" w:cstheme="minorEastAsia"/>
                <w:sz w:val="24"/>
                <w:szCs w:val="24"/>
              </w:rPr>
              <w:t>0</w:t>
            </w:r>
          </w:p>
        </w:tc>
        <w:tc>
          <w:tcPr>
            <w:tcW w:w="985"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0</w:t>
            </w:r>
          </w:p>
        </w:tc>
        <w:tc>
          <w:tcPr>
            <w:tcW w:w="1014"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shd w:val="clear" w:color="auto" w:fill="D9E2F3" w:themeFill="accent5" w:themeFillTint="33"/>
            <w:vAlign w:val="center"/>
          </w:tcPr>
          <w:p>
            <w:pPr>
              <w:widowControl w:val="0"/>
              <w:spacing w:line="360" w:lineRule="auto"/>
              <w:jc w:val="center"/>
              <w:rPr>
                <w:rFonts w:asciiTheme="minorEastAsia" w:hAnsiTheme="minorEastAsia" w:eastAsiaTheme="minorEastAsia" w:cstheme="minorEastAsia"/>
                <w:sz w:val="24"/>
                <w:szCs w:val="24"/>
              </w:rPr>
            </w:pPr>
            <w:r>
              <w:rPr>
                <w:rFonts w:hint="eastAsia" w:ascii="宋体" w:hAnsi="宋体"/>
                <w:sz w:val="24"/>
                <w:szCs w:val="24"/>
              </w:rPr>
              <w:t>7</w:t>
            </w:r>
          </w:p>
        </w:tc>
        <w:tc>
          <w:tcPr>
            <w:tcW w:w="1677" w:type="dxa"/>
            <w:vMerge w:val="continue"/>
            <w:shd w:val="clear" w:color="auto" w:fill="C5E0B3" w:themeFill="accent6" w:themeFillTint="66"/>
            <w:vAlign w:val="center"/>
          </w:tcPr>
          <w:p>
            <w:pPr>
              <w:widowControl w:val="0"/>
              <w:spacing w:line="360" w:lineRule="auto"/>
              <w:rPr>
                <w:rFonts w:asciiTheme="minorEastAsia" w:hAnsiTheme="minorEastAsia" w:eastAsiaTheme="minorEastAsia" w:cstheme="minorEastAsia"/>
                <w:sz w:val="24"/>
                <w:szCs w:val="24"/>
              </w:rPr>
            </w:pPr>
          </w:p>
        </w:tc>
        <w:tc>
          <w:tcPr>
            <w:tcW w:w="1999" w:type="dxa"/>
            <w:shd w:val="clear" w:color="auto" w:fill="C5E0B3" w:themeFill="accent6" w:themeFillTint="66"/>
          </w:tcPr>
          <w:p>
            <w:pPr>
              <w:widowControl w:val="0"/>
              <w:spacing w:line="360" w:lineRule="auto"/>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轻纺食品</w:t>
            </w:r>
          </w:p>
        </w:tc>
        <w:tc>
          <w:tcPr>
            <w:tcW w:w="1276"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asciiTheme="minorEastAsia" w:hAnsiTheme="minorEastAsia" w:eastAsiaTheme="minorEastAsia" w:cstheme="minorEastAsia"/>
                <w:sz w:val="24"/>
                <w:szCs w:val="24"/>
              </w:rPr>
              <w:t>5</w:t>
            </w:r>
          </w:p>
        </w:tc>
        <w:tc>
          <w:tcPr>
            <w:tcW w:w="1261"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34</w:t>
            </w:r>
          </w:p>
        </w:tc>
        <w:tc>
          <w:tcPr>
            <w:tcW w:w="985"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45</w:t>
            </w:r>
          </w:p>
        </w:tc>
        <w:tc>
          <w:tcPr>
            <w:tcW w:w="1014"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shd w:val="clear" w:color="auto" w:fill="D9E2F3" w:themeFill="accent5" w:themeFillTint="33"/>
            <w:vAlign w:val="center"/>
          </w:tcPr>
          <w:p>
            <w:pPr>
              <w:widowControl w:val="0"/>
              <w:spacing w:line="360" w:lineRule="auto"/>
              <w:jc w:val="center"/>
              <w:rPr>
                <w:rFonts w:asciiTheme="minorEastAsia" w:hAnsiTheme="minorEastAsia" w:eastAsiaTheme="minorEastAsia" w:cstheme="minorEastAsia"/>
                <w:sz w:val="24"/>
                <w:szCs w:val="24"/>
              </w:rPr>
            </w:pPr>
            <w:r>
              <w:rPr>
                <w:rFonts w:hint="eastAsia" w:ascii="宋体" w:hAnsi="宋体"/>
                <w:sz w:val="24"/>
                <w:szCs w:val="24"/>
              </w:rPr>
              <w:t>8</w:t>
            </w:r>
          </w:p>
        </w:tc>
        <w:tc>
          <w:tcPr>
            <w:tcW w:w="1677" w:type="dxa"/>
            <w:vMerge w:val="restart"/>
            <w:shd w:val="clear" w:color="auto" w:fill="C5E0B3" w:themeFill="accent6" w:themeFillTint="66"/>
            <w:vAlign w:val="center"/>
          </w:tcPr>
          <w:p>
            <w:pPr>
              <w:widowControl w:val="0"/>
              <w:spacing w:line="360" w:lineRule="auto"/>
              <w:rPr>
                <w:rFonts w:asciiTheme="minorEastAsia" w:hAnsiTheme="minorEastAsia" w:eastAsiaTheme="minorEastAsia" w:cstheme="minorEastAsia"/>
                <w:sz w:val="24"/>
                <w:szCs w:val="24"/>
              </w:rPr>
            </w:pPr>
          </w:p>
          <w:p>
            <w:pPr>
              <w:widowControl w:val="0"/>
              <w:spacing w:line="360" w:lineRule="auto"/>
              <w:rPr>
                <w:rFonts w:asciiTheme="minorEastAsia" w:hAnsiTheme="minorEastAsia" w:eastAsiaTheme="minorEastAsia" w:cstheme="minorEastAsia"/>
                <w:sz w:val="24"/>
                <w:szCs w:val="24"/>
              </w:rPr>
            </w:pPr>
          </w:p>
          <w:p>
            <w:pPr>
              <w:widowControl w:val="0"/>
              <w:spacing w:line="360" w:lineRule="auto"/>
              <w:rPr>
                <w:rFonts w:asciiTheme="minorEastAsia" w:hAnsiTheme="minorEastAsia" w:eastAsiaTheme="minorEastAsia" w:cstheme="minorEastAsia"/>
                <w:sz w:val="24"/>
                <w:szCs w:val="24"/>
              </w:rPr>
            </w:pPr>
          </w:p>
          <w:p>
            <w:pPr>
              <w:widowControl w:val="0"/>
              <w:spacing w:line="360" w:lineRule="auto"/>
              <w:jc w:val="center"/>
              <w:rPr>
                <w:rFonts w:asciiTheme="minorEastAsia" w:hAnsiTheme="minorEastAsia" w:eastAsiaTheme="minorEastAsia" w:cstheme="minorEastAsia"/>
                <w:sz w:val="24"/>
                <w:szCs w:val="24"/>
              </w:rPr>
            </w:pPr>
          </w:p>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第三产业</w:t>
            </w:r>
          </w:p>
        </w:tc>
        <w:tc>
          <w:tcPr>
            <w:tcW w:w="1999" w:type="dxa"/>
            <w:shd w:val="clear" w:color="auto" w:fill="C5E0B3" w:themeFill="accent6" w:themeFillTint="66"/>
          </w:tcPr>
          <w:p>
            <w:pPr>
              <w:widowControl w:val="0"/>
              <w:spacing w:line="360" w:lineRule="auto"/>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交通运输</w:t>
            </w:r>
          </w:p>
        </w:tc>
        <w:tc>
          <w:tcPr>
            <w:tcW w:w="1276"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asciiTheme="minorEastAsia" w:hAnsiTheme="minorEastAsia" w:eastAsiaTheme="minorEastAsia" w:cstheme="minorEastAsia"/>
                <w:sz w:val="24"/>
                <w:szCs w:val="24"/>
              </w:rPr>
              <w:t>15</w:t>
            </w:r>
            <w:r>
              <w:rPr>
                <w:rFonts w:hint="eastAsia" w:asciiTheme="minorEastAsia" w:hAnsiTheme="minorEastAsia" w:eastAsiaTheme="minorEastAsia" w:cstheme="minorEastAsia"/>
                <w:sz w:val="24"/>
                <w:szCs w:val="24"/>
              </w:rPr>
              <w:t>509</w:t>
            </w:r>
          </w:p>
        </w:tc>
        <w:tc>
          <w:tcPr>
            <w:tcW w:w="1261"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17221</w:t>
            </w:r>
          </w:p>
        </w:tc>
        <w:tc>
          <w:tcPr>
            <w:tcW w:w="985"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13801</w:t>
            </w:r>
          </w:p>
        </w:tc>
        <w:tc>
          <w:tcPr>
            <w:tcW w:w="1014"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46531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shd w:val="clear" w:color="auto" w:fill="D9E2F3" w:themeFill="accent5" w:themeFillTint="33"/>
            <w:vAlign w:val="center"/>
          </w:tcPr>
          <w:p>
            <w:pPr>
              <w:widowControl w:val="0"/>
              <w:spacing w:line="360" w:lineRule="auto"/>
              <w:jc w:val="center"/>
              <w:rPr>
                <w:rFonts w:asciiTheme="minorEastAsia" w:hAnsiTheme="minorEastAsia" w:eastAsiaTheme="minorEastAsia" w:cstheme="minorEastAsia"/>
                <w:sz w:val="24"/>
                <w:szCs w:val="24"/>
              </w:rPr>
            </w:pPr>
            <w:r>
              <w:rPr>
                <w:rFonts w:hint="eastAsia" w:ascii="宋体" w:hAnsi="宋体"/>
                <w:sz w:val="24"/>
                <w:szCs w:val="24"/>
              </w:rPr>
              <w:t>9</w:t>
            </w:r>
          </w:p>
        </w:tc>
        <w:tc>
          <w:tcPr>
            <w:tcW w:w="1677" w:type="dxa"/>
            <w:vMerge w:val="continue"/>
            <w:shd w:val="clear" w:color="auto" w:fill="C5E0B3" w:themeFill="accent6" w:themeFillTint="66"/>
          </w:tcPr>
          <w:p>
            <w:pPr>
              <w:widowControl w:val="0"/>
              <w:spacing w:line="360" w:lineRule="auto"/>
              <w:jc w:val="left"/>
              <w:rPr>
                <w:rFonts w:asciiTheme="minorEastAsia" w:hAnsiTheme="minorEastAsia" w:eastAsiaTheme="minorEastAsia" w:cstheme="minorEastAsia"/>
                <w:sz w:val="24"/>
                <w:szCs w:val="24"/>
              </w:rPr>
            </w:pPr>
          </w:p>
        </w:tc>
        <w:tc>
          <w:tcPr>
            <w:tcW w:w="1999" w:type="dxa"/>
            <w:shd w:val="clear" w:color="auto" w:fill="C5E0B3" w:themeFill="accent6" w:themeFillTint="66"/>
          </w:tcPr>
          <w:p>
            <w:pPr>
              <w:widowControl w:val="0"/>
              <w:spacing w:line="360" w:lineRule="auto"/>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信息技术</w:t>
            </w:r>
          </w:p>
        </w:tc>
        <w:tc>
          <w:tcPr>
            <w:tcW w:w="1276"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asciiTheme="minorEastAsia" w:hAnsiTheme="minorEastAsia" w:eastAsiaTheme="minorEastAsia" w:cstheme="minorEastAsia"/>
                <w:sz w:val="24"/>
                <w:szCs w:val="24"/>
              </w:rPr>
              <w:t>10</w:t>
            </w:r>
            <w:r>
              <w:rPr>
                <w:rFonts w:hint="eastAsia" w:asciiTheme="minorEastAsia" w:hAnsiTheme="minorEastAsia" w:eastAsiaTheme="minorEastAsia" w:cstheme="minorEastAsia"/>
                <w:sz w:val="24"/>
                <w:szCs w:val="24"/>
              </w:rPr>
              <w:t>493</w:t>
            </w:r>
          </w:p>
        </w:tc>
        <w:tc>
          <w:tcPr>
            <w:tcW w:w="1261"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12821</w:t>
            </w:r>
          </w:p>
        </w:tc>
        <w:tc>
          <w:tcPr>
            <w:tcW w:w="985"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14303</w:t>
            </w:r>
          </w:p>
        </w:tc>
        <w:tc>
          <w:tcPr>
            <w:tcW w:w="1014"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37617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shd w:val="clear" w:color="auto" w:fill="D9E2F3" w:themeFill="accent5" w:themeFillTint="33"/>
            <w:vAlign w:val="center"/>
          </w:tcPr>
          <w:p>
            <w:pPr>
              <w:widowControl w:val="0"/>
              <w:spacing w:line="360" w:lineRule="auto"/>
              <w:jc w:val="center"/>
              <w:rPr>
                <w:rFonts w:asciiTheme="minorEastAsia" w:hAnsiTheme="minorEastAsia" w:eastAsiaTheme="minorEastAsia" w:cstheme="minorEastAsia"/>
                <w:sz w:val="24"/>
                <w:szCs w:val="24"/>
              </w:rPr>
            </w:pPr>
            <w:r>
              <w:rPr>
                <w:rFonts w:hint="eastAsia" w:ascii="宋体" w:hAnsi="宋体"/>
                <w:sz w:val="24"/>
                <w:szCs w:val="24"/>
              </w:rPr>
              <w:t>10</w:t>
            </w:r>
          </w:p>
        </w:tc>
        <w:tc>
          <w:tcPr>
            <w:tcW w:w="1677" w:type="dxa"/>
            <w:vMerge w:val="continue"/>
            <w:shd w:val="clear" w:color="auto" w:fill="C5E0B3" w:themeFill="accent6" w:themeFillTint="66"/>
          </w:tcPr>
          <w:p>
            <w:pPr>
              <w:widowControl w:val="0"/>
              <w:spacing w:line="360" w:lineRule="auto"/>
              <w:jc w:val="left"/>
              <w:rPr>
                <w:rFonts w:asciiTheme="minorEastAsia" w:hAnsiTheme="minorEastAsia" w:eastAsiaTheme="minorEastAsia" w:cstheme="minorEastAsia"/>
                <w:sz w:val="24"/>
                <w:szCs w:val="24"/>
              </w:rPr>
            </w:pPr>
          </w:p>
        </w:tc>
        <w:tc>
          <w:tcPr>
            <w:tcW w:w="1999" w:type="dxa"/>
            <w:shd w:val="clear" w:color="auto" w:fill="C5E0B3" w:themeFill="accent6" w:themeFillTint="66"/>
          </w:tcPr>
          <w:p>
            <w:pPr>
              <w:widowControl w:val="0"/>
              <w:spacing w:line="360" w:lineRule="auto"/>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医药卫生</w:t>
            </w:r>
          </w:p>
        </w:tc>
        <w:tc>
          <w:tcPr>
            <w:tcW w:w="1276"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asciiTheme="minorEastAsia" w:hAnsiTheme="minorEastAsia" w:eastAsiaTheme="minorEastAsia" w:cstheme="minorEastAsia"/>
                <w:sz w:val="24"/>
                <w:szCs w:val="24"/>
              </w:rPr>
              <w:t>39</w:t>
            </w:r>
            <w:r>
              <w:rPr>
                <w:rFonts w:hint="eastAsia" w:asciiTheme="minorEastAsia" w:hAnsiTheme="minorEastAsia" w:eastAsiaTheme="minorEastAsia" w:cstheme="minorEastAsia"/>
                <w:sz w:val="24"/>
                <w:szCs w:val="24"/>
              </w:rPr>
              <w:t>11</w:t>
            </w:r>
          </w:p>
        </w:tc>
        <w:tc>
          <w:tcPr>
            <w:tcW w:w="1261"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4500</w:t>
            </w:r>
          </w:p>
        </w:tc>
        <w:tc>
          <w:tcPr>
            <w:tcW w:w="985"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5766</w:t>
            </w:r>
          </w:p>
        </w:tc>
        <w:tc>
          <w:tcPr>
            <w:tcW w:w="1014"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14177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shd w:val="clear" w:color="auto" w:fill="D9E2F3" w:themeFill="accent5" w:themeFillTint="33"/>
            <w:vAlign w:val="center"/>
          </w:tcPr>
          <w:p>
            <w:pPr>
              <w:widowControl w:val="0"/>
              <w:spacing w:line="360" w:lineRule="auto"/>
              <w:jc w:val="center"/>
              <w:rPr>
                <w:rFonts w:asciiTheme="minorEastAsia" w:hAnsiTheme="minorEastAsia" w:eastAsiaTheme="minorEastAsia" w:cstheme="minorEastAsia"/>
                <w:sz w:val="24"/>
                <w:szCs w:val="24"/>
              </w:rPr>
            </w:pPr>
            <w:r>
              <w:rPr>
                <w:rFonts w:hint="eastAsia" w:ascii="宋体" w:hAnsi="宋体"/>
                <w:sz w:val="24"/>
                <w:szCs w:val="24"/>
              </w:rPr>
              <w:t>11</w:t>
            </w:r>
          </w:p>
        </w:tc>
        <w:tc>
          <w:tcPr>
            <w:tcW w:w="1677" w:type="dxa"/>
            <w:vMerge w:val="continue"/>
            <w:shd w:val="clear" w:color="auto" w:fill="C5E0B3" w:themeFill="accent6" w:themeFillTint="66"/>
          </w:tcPr>
          <w:p>
            <w:pPr>
              <w:widowControl w:val="0"/>
              <w:spacing w:line="360" w:lineRule="auto"/>
              <w:jc w:val="left"/>
              <w:rPr>
                <w:rFonts w:asciiTheme="minorEastAsia" w:hAnsiTheme="minorEastAsia" w:eastAsiaTheme="minorEastAsia" w:cstheme="minorEastAsia"/>
                <w:sz w:val="24"/>
                <w:szCs w:val="24"/>
              </w:rPr>
            </w:pPr>
          </w:p>
        </w:tc>
        <w:tc>
          <w:tcPr>
            <w:tcW w:w="1999" w:type="dxa"/>
            <w:shd w:val="clear" w:color="auto" w:fill="C5E0B3" w:themeFill="accent6" w:themeFillTint="66"/>
          </w:tcPr>
          <w:p>
            <w:pPr>
              <w:widowControl w:val="0"/>
              <w:spacing w:line="360" w:lineRule="auto"/>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休闲保健</w:t>
            </w:r>
          </w:p>
        </w:tc>
        <w:tc>
          <w:tcPr>
            <w:tcW w:w="1276"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asciiTheme="minorEastAsia" w:hAnsiTheme="minorEastAsia" w:eastAsiaTheme="minorEastAsia" w:cstheme="minorEastAsia"/>
                <w:sz w:val="24"/>
                <w:szCs w:val="24"/>
              </w:rPr>
              <w:t>66</w:t>
            </w:r>
            <w:r>
              <w:rPr>
                <w:rFonts w:hint="eastAsia" w:asciiTheme="minorEastAsia" w:hAnsiTheme="minorEastAsia" w:eastAsiaTheme="minorEastAsia" w:cstheme="minorEastAsia"/>
                <w:sz w:val="24"/>
                <w:szCs w:val="24"/>
              </w:rPr>
              <w:t>0</w:t>
            </w:r>
          </w:p>
        </w:tc>
        <w:tc>
          <w:tcPr>
            <w:tcW w:w="1261"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871</w:t>
            </w:r>
          </w:p>
        </w:tc>
        <w:tc>
          <w:tcPr>
            <w:tcW w:w="985"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1142</w:t>
            </w:r>
          </w:p>
        </w:tc>
        <w:tc>
          <w:tcPr>
            <w:tcW w:w="1014"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shd w:val="clear" w:color="auto" w:fill="D9E2F3" w:themeFill="accent5" w:themeFillTint="33"/>
            <w:vAlign w:val="center"/>
          </w:tcPr>
          <w:p>
            <w:pPr>
              <w:widowControl w:val="0"/>
              <w:spacing w:line="360" w:lineRule="auto"/>
              <w:jc w:val="center"/>
              <w:rPr>
                <w:rFonts w:asciiTheme="minorEastAsia" w:hAnsiTheme="minorEastAsia" w:eastAsiaTheme="minorEastAsia" w:cstheme="minorEastAsia"/>
                <w:sz w:val="24"/>
                <w:szCs w:val="24"/>
              </w:rPr>
            </w:pPr>
            <w:r>
              <w:rPr>
                <w:rFonts w:hint="eastAsia" w:ascii="宋体" w:hAnsi="宋体"/>
                <w:sz w:val="24"/>
                <w:szCs w:val="24"/>
              </w:rPr>
              <w:t>12</w:t>
            </w:r>
          </w:p>
        </w:tc>
        <w:tc>
          <w:tcPr>
            <w:tcW w:w="1677" w:type="dxa"/>
            <w:vMerge w:val="continue"/>
            <w:shd w:val="clear" w:color="auto" w:fill="C5E0B3" w:themeFill="accent6" w:themeFillTint="66"/>
          </w:tcPr>
          <w:p>
            <w:pPr>
              <w:widowControl w:val="0"/>
              <w:spacing w:line="360" w:lineRule="auto"/>
              <w:jc w:val="left"/>
              <w:rPr>
                <w:rFonts w:asciiTheme="minorEastAsia" w:hAnsiTheme="minorEastAsia" w:eastAsiaTheme="minorEastAsia" w:cstheme="minorEastAsia"/>
                <w:sz w:val="24"/>
                <w:szCs w:val="24"/>
              </w:rPr>
            </w:pPr>
          </w:p>
        </w:tc>
        <w:tc>
          <w:tcPr>
            <w:tcW w:w="1999" w:type="dxa"/>
            <w:shd w:val="clear" w:color="auto" w:fill="C5E0B3" w:themeFill="accent6" w:themeFillTint="66"/>
          </w:tcPr>
          <w:p>
            <w:pPr>
              <w:widowControl w:val="0"/>
              <w:spacing w:line="360" w:lineRule="auto"/>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财经商贸</w:t>
            </w:r>
          </w:p>
        </w:tc>
        <w:tc>
          <w:tcPr>
            <w:tcW w:w="1276"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asciiTheme="minorEastAsia" w:hAnsiTheme="minorEastAsia" w:eastAsiaTheme="minorEastAsia" w:cstheme="minorEastAsia"/>
                <w:sz w:val="24"/>
                <w:szCs w:val="24"/>
              </w:rPr>
              <w:t>6</w:t>
            </w:r>
            <w:r>
              <w:rPr>
                <w:rFonts w:hint="eastAsia" w:asciiTheme="minorEastAsia" w:hAnsiTheme="minorEastAsia" w:eastAsiaTheme="minorEastAsia" w:cstheme="minorEastAsia"/>
                <w:sz w:val="24"/>
                <w:szCs w:val="24"/>
              </w:rPr>
              <w:t>172</w:t>
            </w:r>
          </w:p>
        </w:tc>
        <w:tc>
          <w:tcPr>
            <w:tcW w:w="1261"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5764</w:t>
            </w:r>
          </w:p>
        </w:tc>
        <w:tc>
          <w:tcPr>
            <w:tcW w:w="985"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6911</w:t>
            </w:r>
          </w:p>
        </w:tc>
        <w:tc>
          <w:tcPr>
            <w:tcW w:w="1014"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18847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shd w:val="clear" w:color="auto" w:fill="D9E2F3" w:themeFill="accent5" w:themeFillTint="33"/>
            <w:vAlign w:val="center"/>
          </w:tcPr>
          <w:p>
            <w:pPr>
              <w:widowControl w:val="0"/>
              <w:spacing w:line="360" w:lineRule="auto"/>
              <w:jc w:val="center"/>
              <w:rPr>
                <w:rFonts w:asciiTheme="minorEastAsia" w:hAnsiTheme="minorEastAsia" w:eastAsiaTheme="minorEastAsia" w:cstheme="minorEastAsia"/>
                <w:sz w:val="24"/>
                <w:szCs w:val="24"/>
              </w:rPr>
            </w:pPr>
            <w:r>
              <w:rPr>
                <w:rFonts w:hint="eastAsia" w:ascii="宋体" w:hAnsi="宋体"/>
                <w:sz w:val="24"/>
                <w:szCs w:val="24"/>
              </w:rPr>
              <w:t>13</w:t>
            </w:r>
          </w:p>
        </w:tc>
        <w:tc>
          <w:tcPr>
            <w:tcW w:w="1677" w:type="dxa"/>
            <w:vMerge w:val="continue"/>
            <w:shd w:val="clear" w:color="auto" w:fill="C5E0B3" w:themeFill="accent6" w:themeFillTint="66"/>
          </w:tcPr>
          <w:p>
            <w:pPr>
              <w:widowControl w:val="0"/>
              <w:spacing w:line="360" w:lineRule="auto"/>
              <w:jc w:val="left"/>
              <w:rPr>
                <w:rFonts w:asciiTheme="minorEastAsia" w:hAnsiTheme="minorEastAsia" w:eastAsiaTheme="minorEastAsia" w:cstheme="minorEastAsia"/>
                <w:sz w:val="24"/>
                <w:szCs w:val="24"/>
              </w:rPr>
            </w:pPr>
          </w:p>
        </w:tc>
        <w:tc>
          <w:tcPr>
            <w:tcW w:w="1999" w:type="dxa"/>
            <w:shd w:val="clear" w:color="auto" w:fill="C5E0B3" w:themeFill="accent6" w:themeFillTint="66"/>
          </w:tcPr>
          <w:p>
            <w:pPr>
              <w:widowControl w:val="0"/>
              <w:spacing w:line="360" w:lineRule="auto"/>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旅游服务</w:t>
            </w:r>
          </w:p>
        </w:tc>
        <w:tc>
          <w:tcPr>
            <w:tcW w:w="1276"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asciiTheme="minorEastAsia" w:hAnsiTheme="minorEastAsia" w:eastAsiaTheme="minorEastAsia" w:cstheme="minorEastAsia"/>
                <w:sz w:val="24"/>
                <w:szCs w:val="24"/>
              </w:rPr>
              <w:t>17</w:t>
            </w:r>
            <w:r>
              <w:rPr>
                <w:rFonts w:hint="eastAsia" w:asciiTheme="minorEastAsia" w:hAnsiTheme="minorEastAsia" w:eastAsiaTheme="minorEastAsia" w:cstheme="minorEastAsia"/>
                <w:sz w:val="24"/>
                <w:szCs w:val="24"/>
              </w:rPr>
              <w:t>52</w:t>
            </w:r>
          </w:p>
        </w:tc>
        <w:tc>
          <w:tcPr>
            <w:tcW w:w="1261"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asciiTheme="minorEastAsia" w:hAnsiTheme="minorEastAsia" w:eastAsiaTheme="minorEastAsia" w:cstheme="minorEastAsia"/>
                <w:sz w:val="24"/>
                <w:szCs w:val="24"/>
              </w:rPr>
              <w:t>46</w:t>
            </w:r>
            <w:r>
              <w:rPr>
                <w:rFonts w:hint="eastAsia" w:asciiTheme="minorEastAsia" w:hAnsiTheme="minorEastAsia" w:eastAsiaTheme="minorEastAsia" w:cstheme="minorEastAsia"/>
                <w:sz w:val="24"/>
                <w:szCs w:val="24"/>
              </w:rPr>
              <w:t>15</w:t>
            </w:r>
          </w:p>
        </w:tc>
        <w:tc>
          <w:tcPr>
            <w:tcW w:w="985"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2614</w:t>
            </w:r>
          </w:p>
        </w:tc>
        <w:tc>
          <w:tcPr>
            <w:tcW w:w="1014"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8981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shd w:val="clear" w:color="auto" w:fill="D9E2F3" w:themeFill="accent5" w:themeFillTint="33"/>
            <w:vAlign w:val="center"/>
          </w:tcPr>
          <w:p>
            <w:pPr>
              <w:widowControl w:val="0"/>
              <w:spacing w:line="360" w:lineRule="auto"/>
              <w:jc w:val="center"/>
              <w:rPr>
                <w:rFonts w:asciiTheme="minorEastAsia" w:hAnsiTheme="minorEastAsia" w:eastAsiaTheme="minorEastAsia" w:cstheme="minorEastAsia"/>
                <w:sz w:val="24"/>
                <w:szCs w:val="24"/>
              </w:rPr>
            </w:pPr>
            <w:r>
              <w:rPr>
                <w:rFonts w:hint="eastAsia" w:ascii="宋体" w:hAnsi="宋体"/>
                <w:sz w:val="24"/>
                <w:szCs w:val="24"/>
              </w:rPr>
              <w:t>14</w:t>
            </w:r>
          </w:p>
        </w:tc>
        <w:tc>
          <w:tcPr>
            <w:tcW w:w="1677" w:type="dxa"/>
            <w:vMerge w:val="continue"/>
            <w:shd w:val="clear" w:color="auto" w:fill="C5E0B3" w:themeFill="accent6" w:themeFillTint="66"/>
          </w:tcPr>
          <w:p>
            <w:pPr>
              <w:widowControl w:val="0"/>
              <w:spacing w:line="360" w:lineRule="auto"/>
              <w:jc w:val="left"/>
              <w:rPr>
                <w:rFonts w:asciiTheme="minorEastAsia" w:hAnsiTheme="minorEastAsia" w:eastAsiaTheme="minorEastAsia" w:cstheme="minorEastAsia"/>
                <w:sz w:val="24"/>
                <w:szCs w:val="24"/>
              </w:rPr>
            </w:pPr>
          </w:p>
        </w:tc>
        <w:tc>
          <w:tcPr>
            <w:tcW w:w="1999" w:type="dxa"/>
            <w:shd w:val="clear" w:color="auto" w:fill="C5E0B3" w:themeFill="accent6" w:themeFillTint="66"/>
          </w:tcPr>
          <w:p>
            <w:pPr>
              <w:widowControl w:val="0"/>
              <w:spacing w:line="360" w:lineRule="auto"/>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文化艺术</w:t>
            </w:r>
          </w:p>
        </w:tc>
        <w:tc>
          <w:tcPr>
            <w:tcW w:w="1276"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asciiTheme="minorEastAsia" w:hAnsiTheme="minorEastAsia" w:eastAsiaTheme="minorEastAsia" w:cstheme="minorEastAsia"/>
                <w:sz w:val="24"/>
                <w:szCs w:val="24"/>
              </w:rPr>
              <w:t>4</w:t>
            </w:r>
            <w:r>
              <w:rPr>
                <w:rFonts w:hint="eastAsia" w:asciiTheme="minorEastAsia" w:hAnsiTheme="minorEastAsia" w:eastAsiaTheme="minorEastAsia" w:cstheme="minorEastAsia"/>
                <w:sz w:val="24"/>
                <w:szCs w:val="24"/>
              </w:rPr>
              <w:t>316</w:t>
            </w:r>
          </w:p>
        </w:tc>
        <w:tc>
          <w:tcPr>
            <w:tcW w:w="1261"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5857</w:t>
            </w:r>
          </w:p>
        </w:tc>
        <w:tc>
          <w:tcPr>
            <w:tcW w:w="985"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8162</w:t>
            </w:r>
          </w:p>
        </w:tc>
        <w:tc>
          <w:tcPr>
            <w:tcW w:w="1014"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18335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shd w:val="clear" w:color="auto" w:fill="D9E2F3" w:themeFill="accent5" w:themeFillTint="33"/>
            <w:vAlign w:val="center"/>
          </w:tcPr>
          <w:p>
            <w:pPr>
              <w:widowControl w:val="0"/>
              <w:spacing w:line="360" w:lineRule="auto"/>
              <w:jc w:val="center"/>
              <w:rPr>
                <w:rFonts w:asciiTheme="minorEastAsia" w:hAnsiTheme="minorEastAsia" w:eastAsiaTheme="minorEastAsia" w:cstheme="minorEastAsia"/>
                <w:sz w:val="24"/>
                <w:szCs w:val="24"/>
              </w:rPr>
            </w:pPr>
            <w:r>
              <w:rPr>
                <w:rFonts w:hint="eastAsia" w:ascii="宋体" w:hAnsi="宋体"/>
                <w:sz w:val="24"/>
                <w:szCs w:val="24"/>
              </w:rPr>
              <w:t>15</w:t>
            </w:r>
          </w:p>
        </w:tc>
        <w:tc>
          <w:tcPr>
            <w:tcW w:w="1677" w:type="dxa"/>
            <w:vMerge w:val="continue"/>
            <w:shd w:val="clear" w:color="auto" w:fill="C5E0B3" w:themeFill="accent6" w:themeFillTint="66"/>
          </w:tcPr>
          <w:p>
            <w:pPr>
              <w:widowControl w:val="0"/>
              <w:spacing w:line="360" w:lineRule="auto"/>
              <w:jc w:val="left"/>
              <w:rPr>
                <w:rFonts w:asciiTheme="minorEastAsia" w:hAnsiTheme="minorEastAsia" w:eastAsiaTheme="minorEastAsia" w:cstheme="minorEastAsia"/>
                <w:sz w:val="24"/>
                <w:szCs w:val="24"/>
              </w:rPr>
            </w:pPr>
          </w:p>
        </w:tc>
        <w:tc>
          <w:tcPr>
            <w:tcW w:w="1999" w:type="dxa"/>
            <w:shd w:val="clear" w:color="auto" w:fill="C5E0B3" w:themeFill="accent6" w:themeFillTint="66"/>
          </w:tcPr>
          <w:p>
            <w:pPr>
              <w:widowControl w:val="0"/>
              <w:spacing w:line="360" w:lineRule="auto"/>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体育健身</w:t>
            </w:r>
          </w:p>
        </w:tc>
        <w:tc>
          <w:tcPr>
            <w:tcW w:w="1276"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asciiTheme="minorEastAsia" w:hAnsiTheme="minorEastAsia" w:eastAsiaTheme="minorEastAsia" w:cstheme="minorEastAsia"/>
                <w:sz w:val="24"/>
                <w:szCs w:val="24"/>
              </w:rPr>
              <w:t>13</w:t>
            </w:r>
            <w:r>
              <w:rPr>
                <w:rFonts w:hint="eastAsia" w:asciiTheme="minorEastAsia" w:hAnsiTheme="minorEastAsia" w:eastAsiaTheme="minorEastAsia" w:cstheme="minorEastAsia"/>
                <w:sz w:val="24"/>
                <w:szCs w:val="24"/>
              </w:rPr>
              <w:t>752</w:t>
            </w:r>
          </w:p>
        </w:tc>
        <w:tc>
          <w:tcPr>
            <w:tcW w:w="1261"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asciiTheme="minorEastAsia" w:hAnsiTheme="minorEastAsia" w:eastAsiaTheme="minorEastAsia" w:cstheme="minorEastAsia"/>
                <w:sz w:val="24"/>
                <w:szCs w:val="24"/>
              </w:rPr>
              <w:t>15</w:t>
            </w:r>
            <w:r>
              <w:rPr>
                <w:rFonts w:hint="eastAsia" w:asciiTheme="minorEastAsia" w:hAnsiTheme="minorEastAsia" w:eastAsiaTheme="minorEastAsia" w:cstheme="minorEastAsia"/>
                <w:sz w:val="24"/>
                <w:szCs w:val="24"/>
              </w:rPr>
              <w:t>218</w:t>
            </w:r>
          </w:p>
        </w:tc>
        <w:tc>
          <w:tcPr>
            <w:tcW w:w="985"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13972</w:t>
            </w:r>
          </w:p>
        </w:tc>
        <w:tc>
          <w:tcPr>
            <w:tcW w:w="1014"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42942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shd w:val="clear" w:color="auto" w:fill="D9E2F3" w:themeFill="accent5" w:themeFillTint="33"/>
            <w:vAlign w:val="center"/>
          </w:tcPr>
          <w:p>
            <w:pPr>
              <w:widowControl w:val="0"/>
              <w:spacing w:line="360" w:lineRule="auto"/>
              <w:jc w:val="center"/>
              <w:rPr>
                <w:rFonts w:asciiTheme="minorEastAsia" w:hAnsiTheme="minorEastAsia" w:eastAsiaTheme="minorEastAsia" w:cstheme="minorEastAsia"/>
                <w:sz w:val="24"/>
                <w:szCs w:val="24"/>
              </w:rPr>
            </w:pPr>
            <w:r>
              <w:rPr>
                <w:rFonts w:hint="eastAsia" w:ascii="宋体" w:hAnsi="宋体"/>
                <w:sz w:val="24"/>
                <w:szCs w:val="24"/>
              </w:rPr>
              <w:t>16</w:t>
            </w:r>
          </w:p>
        </w:tc>
        <w:tc>
          <w:tcPr>
            <w:tcW w:w="1677" w:type="dxa"/>
            <w:vMerge w:val="continue"/>
            <w:shd w:val="clear" w:color="auto" w:fill="C5E0B3" w:themeFill="accent6" w:themeFillTint="66"/>
          </w:tcPr>
          <w:p>
            <w:pPr>
              <w:widowControl w:val="0"/>
              <w:spacing w:line="360" w:lineRule="auto"/>
              <w:jc w:val="left"/>
              <w:rPr>
                <w:rFonts w:asciiTheme="minorEastAsia" w:hAnsiTheme="minorEastAsia" w:eastAsiaTheme="minorEastAsia" w:cstheme="minorEastAsia"/>
                <w:sz w:val="24"/>
                <w:szCs w:val="24"/>
              </w:rPr>
            </w:pPr>
          </w:p>
        </w:tc>
        <w:tc>
          <w:tcPr>
            <w:tcW w:w="1999" w:type="dxa"/>
            <w:shd w:val="clear" w:color="auto" w:fill="C5E0B3" w:themeFill="accent6" w:themeFillTint="66"/>
          </w:tcPr>
          <w:p>
            <w:pPr>
              <w:widowControl w:val="0"/>
              <w:spacing w:line="360" w:lineRule="auto"/>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教育</w:t>
            </w:r>
          </w:p>
        </w:tc>
        <w:tc>
          <w:tcPr>
            <w:tcW w:w="1276"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asciiTheme="minorEastAsia" w:hAnsiTheme="minorEastAsia" w:eastAsiaTheme="minorEastAsia" w:cstheme="minorEastAsia"/>
                <w:sz w:val="24"/>
                <w:szCs w:val="24"/>
              </w:rPr>
              <w:t>14</w:t>
            </w:r>
            <w:r>
              <w:rPr>
                <w:rFonts w:hint="eastAsia" w:asciiTheme="minorEastAsia" w:hAnsiTheme="minorEastAsia" w:eastAsiaTheme="minorEastAsia" w:cstheme="minorEastAsia"/>
                <w:sz w:val="24"/>
                <w:szCs w:val="24"/>
              </w:rPr>
              <w:t>34</w:t>
            </w:r>
          </w:p>
        </w:tc>
        <w:tc>
          <w:tcPr>
            <w:tcW w:w="1261"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1946</w:t>
            </w:r>
          </w:p>
        </w:tc>
        <w:tc>
          <w:tcPr>
            <w:tcW w:w="985"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1832</w:t>
            </w:r>
          </w:p>
        </w:tc>
        <w:tc>
          <w:tcPr>
            <w:tcW w:w="1014"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shd w:val="clear" w:color="auto" w:fill="D9E2F3" w:themeFill="accent5" w:themeFillTint="33"/>
            <w:vAlign w:val="center"/>
          </w:tcPr>
          <w:p>
            <w:pPr>
              <w:widowControl w:val="0"/>
              <w:spacing w:line="360" w:lineRule="auto"/>
              <w:jc w:val="center"/>
              <w:rPr>
                <w:rFonts w:asciiTheme="minorEastAsia" w:hAnsiTheme="minorEastAsia" w:eastAsiaTheme="minorEastAsia" w:cstheme="minorEastAsia"/>
                <w:sz w:val="24"/>
                <w:szCs w:val="24"/>
              </w:rPr>
            </w:pPr>
            <w:r>
              <w:rPr>
                <w:rFonts w:hint="eastAsia" w:ascii="宋体" w:hAnsi="宋体"/>
                <w:sz w:val="24"/>
                <w:szCs w:val="24"/>
              </w:rPr>
              <w:t>17</w:t>
            </w:r>
          </w:p>
        </w:tc>
        <w:tc>
          <w:tcPr>
            <w:tcW w:w="1677" w:type="dxa"/>
            <w:vMerge w:val="continue"/>
            <w:shd w:val="clear" w:color="auto" w:fill="C5E0B3" w:themeFill="accent6" w:themeFillTint="66"/>
          </w:tcPr>
          <w:p>
            <w:pPr>
              <w:widowControl w:val="0"/>
              <w:spacing w:line="360" w:lineRule="auto"/>
              <w:jc w:val="left"/>
              <w:rPr>
                <w:rFonts w:asciiTheme="minorEastAsia" w:hAnsiTheme="minorEastAsia" w:eastAsiaTheme="minorEastAsia" w:cstheme="minorEastAsia"/>
                <w:sz w:val="24"/>
                <w:szCs w:val="24"/>
              </w:rPr>
            </w:pPr>
          </w:p>
        </w:tc>
        <w:tc>
          <w:tcPr>
            <w:tcW w:w="1999" w:type="dxa"/>
            <w:shd w:val="clear" w:color="auto" w:fill="C5E0B3" w:themeFill="accent6" w:themeFillTint="66"/>
          </w:tcPr>
          <w:p>
            <w:pPr>
              <w:widowControl w:val="0"/>
              <w:spacing w:line="360" w:lineRule="auto"/>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司法服务</w:t>
            </w:r>
          </w:p>
        </w:tc>
        <w:tc>
          <w:tcPr>
            <w:tcW w:w="1276"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asciiTheme="minorEastAsia" w:hAnsiTheme="minorEastAsia" w:eastAsiaTheme="minorEastAsia" w:cstheme="minorEastAsia"/>
                <w:sz w:val="24"/>
                <w:szCs w:val="24"/>
              </w:rPr>
              <w:t>0</w:t>
            </w:r>
          </w:p>
        </w:tc>
        <w:tc>
          <w:tcPr>
            <w:tcW w:w="1261"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asciiTheme="minorEastAsia" w:hAnsiTheme="minorEastAsia" w:eastAsiaTheme="minorEastAsia" w:cstheme="minorEastAsia"/>
                <w:sz w:val="24"/>
                <w:szCs w:val="24"/>
              </w:rPr>
              <w:t>0</w:t>
            </w:r>
          </w:p>
        </w:tc>
        <w:tc>
          <w:tcPr>
            <w:tcW w:w="985"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0</w:t>
            </w:r>
          </w:p>
        </w:tc>
        <w:tc>
          <w:tcPr>
            <w:tcW w:w="1014"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shd w:val="clear" w:color="auto" w:fill="D9E2F3" w:themeFill="accent5" w:themeFillTint="33"/>
            <w:vAlign w:val="center"/>
          </w:tcPr>
          <w:p>
            <w:pPr>
              <w:widowControl w:val="0"/>
              <w:spacing w:line="360" w:lineRule="auto"/>
              <w:jc w:val="center"/>
              <w:rPr>
                <w:rFonts w:asciiTheme="minorEastAsia" w:hAnsiTheme="minorEastAsia" w:eastAsiaTheme="minorEastAsia" w:cstheme="minorEastAsia"/>
                <w:sz w:val="24"/>
                <w:szCs w:val="24"/>
              </w:rPr>
            </w:pPr>
            <w:r>
              <w:rPr>
                <w:rFonts w:hint="eastAsia" w:ascii="宋体" w:hAnsi="宋体"/>
                <w:sz w:val="24"/>
                <w:szCs w:val="24"/>
              </w:rPr>
              <w:t>18</w:t>
            </w:r>
          </w:p>
        </w:tc>
        <w:tc>
          <w:tcPr>
            <w:tcW w:w="1677" w:type="dxa"/>
            <w:vMerge w:val="continue"/>
            <w:shd w:val="clear" w:color="auto" w:fill="C5E0B3" w:themeFill="accent6" w:themeFillTint="66"/>
          </w:tcPr>
          <w:p>
            <w:pPr>
              <w:widowControl w:val="0"/>
              <w:spacing w:line="360" w:lineRule="auto"/>
              <w:jc w:val="left"/>
              <w:rPr>
                <w:rFonts w:asciiTheme="minorEastAsia" w:hAnsiTheme="minorEastAsia" w:eastAsiaTheme="minorEastAsia" w:cstheme="minorEastAsia"/>
                <w:sz w:val="24"/>
                <w:szCs w:val="24"/>
              </w:rPr>
            </w:pPr>
          </w:p>
        </w:tc>
        <w:tc>
          <w:tcPr>
            <w:tcW w:w="1999" w:type="dxa"/>
            <w:shd w:val="clear" w:color="auto" w:fill="C5E0B3" w:themeFill="accent6" w:themeFillTint="66"/>
          </w:tcPr>
          <w:p>
            <w:pPr>
              <w:widowControl w:val="0"/>
              <w:spacing w:line="360" w:lineRule="auto"/>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公共管理与服务</w:t>
            </w:r>
          </w:p>
        </w:tc>
        <w:tc>
          <w:tcPr>
            <w:tcW w:w="1276"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602</w:t>
            </w:r>
          </w:p>
        </w:tc>
        <w:tc>
          <w:tcPr>
            <w:tcW w:w="1261"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asciiTheme="minorEastAsia" w:hAnsiTheme="minorEastAsia" w:eastAsiaTheme="minorEastAsia" w:cstheme="minorEastAsia"/>
                <w:sz w:val="24"/>
                <w:szCs w:val="24"/>
              </w:rPr>
              <w:t>5</w:t>
            </w:r>
            <w:r>
              <w:rPr>
                <w:rFonts w:hint="eastAsia" w:asciiTheme="minorEastAsia" w:hAnsiTheme="minorEastAsia" w:eastAsiaTheme="minorEastAsia" w:cstheme="minorEastAsia"/>
                <w:sz w:val="24"/>
                <w:szCs w:val="24"/>
              </w:rPr>
              <w:t>33</w:t>
            </w:r>
          </w:p>
        </w:tc>
        <w:tc>
          <w:tcPr>
            <w:tcW w:w="985"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489</w:t>
            </w:r>
          </w:p>
        </w:tc>
        <w:tc>
          <w:tcPr>
            <w:tcW w:w="1014"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shd w:val="clear" w:color="auto" w:fill="D9E2F3" w:themeFill="accent5" w:themeFillTint="33"/>
            <w:vAlign w:val="center"/>
          </w:tcPr>
          <w:p>
            <w:pPr>
              <w:widowControl w:val="0"/>
              <w:spacing w:line="360" w:lineRule="auto"/>
              <w:jc w:val="center"/>
              <w:rPr>
                <w:rFonts w:asciiTheme="minorEastAsia" w:hAnsiTheme="minorEastAsia" w:eastAsiaTheme="minorEastAsia" w:cstheme="minorEastAsia"/>
                <w:sz w:val="24"/>
                <w:szCs w:val="24"/>
              </w:rPr>
            </w:pPr>
            <w:r>
              <w:rPr>
                <w:rFonts w:hint="eastAsia" w:ascii="宋体" w:hAnsi="宋体"/>
                <w:sz w:val="24"/>
                <w:szCs w:val="24"/>
              </w:rPr>
              <w:t>19</w:t>
            </w:r>
          </w:p>
        </w:tc>
        <w:tc>
          <w:tcPr>
            <w:tcW w:w="1677" w:type="dxa"/>
            <w:shd w:val="clear" w:color="auto" w:fill="C5E0B3" w:themeFill="accent6" w:themeFillTint="66"/>
          </w:tcPr>
          <w:p>
            <w:pPr>
              <w:widowControl w:val="0"/>
              <w:spacing w:line="360" w:lineRule="auto"/>
              <w:jc w:val="left"/>
              <w:rPr>
                <w:rFonts w:asciiTheme="minorEastAsia" w:hAnsiTheme="minorEastAsia" w:eastAsiaTheme="minorEastAsia" w:cstheme="minorEastAsia"/>
                <w:sz w:val="24"/>
                <w:szCs w:val="24"/>
              </w:rPr>
            </w:pPr>
          </w:p>
        </w:tc>
        <w:tc>
          <w:tcPr>
            <w:tcW w:w="1999" w:type="dxa"/>
            <w:shd w:val="clear" w:color="auto" w:fill="C5E0B3" w:themeFill="accent6" w:themeFillTint="66"/>
          </w:tcPr>
          <w:p>
            <w:pPr>
              <w:widowControl w:val="0"/>
              <w:spacing w:line="360" w:lineRule="auto"/>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其他</w:t>
            </w:r>
          </w:p>
        </w:tc>
        <w:tc>
          <w:tcPr>
            <w:tcW w:w="1276"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asciiTheme="minorEastAsia" w:hAnsiTheme="minorEastAsia" w:eastAsiaTheme="minorEastAsia" w:cstheme="minorEastAsia"/>
                <w:sz w:val="24"/>
                <w:szCs w:val="24"/>
              </w:rPr>
              <w:t>0</w:t>
            </w:r>
          </w:p>
        </w:tc>
        <w:tc>
          <w:tcPr>
            <w:tcW w:w="1261"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asciiTheme="minorEastAsia" w:hAnsiTheme="minorEastAsia" w:eastAsiaTheme="minorEastAsia" w:cstheme="minorEastAsia"/>
                <w:sz w:val="24"/>
                <w:szCs w:val="24"/>
              </w:rPr>
              <w:t>0</w:t>
            </w:r>
          </w:p>
        </w:tc>
        <w:tc>
          <w:tcPr>
            <w:tcW w:w="985"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0</w:t>
            </w:r>
          </w:p>
        </w:tc>
        <w:tc>
          <w:tcPr>
            <w:tcW w:w="1014" w:type="dxa"/>
            <w:shd w:val="clear" w:color="auto" w:fill="C5E0B3" w:themeFill="accent6" w:themeFillTint="66"/>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0</w:t>
            </w:r>
          </w:p>
        </w:tc>
      </w:tr>
    </w:tbl>
    <w:p>
      <w:pPr>
        <w:spacing w:line="600" w:lineRule="exact"/>
        <w:rPr>
          <w:rFonts w:ascii="宋体" w:hAnsi="宋体"/>
          <w:b/>
          <w:sz w:val="28"/>
          <w:szCs w:val="28"/>
        </w:rPr>
      </w:pPr>
    </w:p>
    <w:p>
      <w:pPr>
        <w:spacing w:line="600" w:lineRule="exact"/>
        <w:ind w:firstLine="643" w:firstLineChars="200"/>
        <w:rPr>
          <w:rFonts w:ascii="仿宋_GB2312" w:hAnsi="仿宋" w:eastAsia="仿宋_GB2312" w:cs="仿宋"/>
          <w:sz w:val="32"/>
          <w:szCs w:val="32"/>
        </w:rPr>
      </w:pPr>
      <w:r>
        <w:rPr>
          <w:rFonts w:hint="eastAsia" w:ascii="仿宋_GB2312" w:eastAsia="仿宋_GB2312"/>
          <w:b/>
          <w:sz w:val="32"/>
          <w:szCs w:val="32"/>
        </w:rPr>
        <w:t>专业与产业契合度持续提升。</w:t>
      </w:r>
      <w:r>
        <w:rPr>
          <w:rFonts w:hint="eastAsia" w:ascii="仿宋_GB2312" w:eastAsia="仿宋_GB2312"/>
          <w:sz w:val="32"/>
          <w:szCs w:val="32"/>
        </w:rPr>
        <w:t>郑州市中等职业教育坚持专业建设发展与区域产业布局同步规划，建立专业建设动态调整机制，提高专业建设水平。目前我市中职学校建设专业集群29个，省、市级名师技能工作室47个，省级品牌示范专业、特色专业40个，市级重点建设专业30个。</w:t>
      </w:r>
      <w:r>
        <w:rPr>
          <w:rFonts w:hint="eastAsia" w:ascii="仿宋_GB2312" w:hAnsi="仿宋" w:eastAsia="仿宋_GB2312" w:cs="仿宋"/>
          <w:sz w:val="32"/>
          <w:szCs w:val="32"/>
        </w:rPr>
        <w:t xml:space="preserve">通过示范引领，不断提升中等职业学校办学水平。 </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2020年，郑州市中等职业教育开展专业建设情况如下：</w:t>
      </w:r>
      <w:r>
        <w:rPr>
          <w:rFonts w:hint="eastAsia" w:ascii="仿宋_GB2312" w:hAnsi="仿宋_GB2312" w:eastAsia="仿宋_GB2312" w:cs="仿宋_GB2312"/>
          <w:b/>
          <w:bCs/>
          <w:spacing w:val="8"/>
          <w:sz w:val="32"/>
          <w:szCs w:val="32"/>
          <w:shd w:val="clear" w:color="auto" w:fill="FFFFFF"/>
        </w:rPr>
        <w:t>一是</w:t>
      </w:r>
      <w:r>
        <w:rPr>
          <w:rFonts w:hint="eastAsia" w:ascii="仿宋_GB2312" w:hAnsi="仿宋_GB2312" w:eastAsia="仿宋_GB2312" w:cs="仿宋_GB2312"/>
          <w:spacing w:val="8"/>
          <w:sz w:val="32"/>
          <w:szCs w:val="32"/>
          <w:shd w:val="clear" w:color="auto" w:fill="FFFFFF"/>
        </w:rPr>
        <w:t>开展年度中等职业学校新增设专业评估与备案工作，</w:t>
      </w:r>
      <w:r>
        <w:rPr>
          <w:rFonts w:hint="eastAsia" w:ascii="仿宋_GB2312" w:hAnsi="仿宋_GB2312" w:eastAsia="仿宋_GB2312" w:cs="仿宋_GB2312"/>
          <w:sz w:val="32"/>
          <w:szCs w:val="32"/>
        </w:rPr>
        <w:t>对28所中职学校的57个新增设专业进行备案。</w:t>
      </w:r>
      <w:r>
        <w:rPr>
          <w:rFonts w:hint="eastAsia" w:ascii="仿宋_GB2312" w:hAnsi="仿宋_GB2312" w:eastAsia="仿宋_GB2312" w:cs="仿宋_GB2312"/>
          <w:b/>
          <w:bCs/>
          <w:sz w:val="32"/>
          <w:szCs w:val="32"/>
        </w:rPr>
        <w:t>二是</w:t>
      </w:r>
      <w:r>
        <w:rPr>
          <w:rFonts w:hint="eastAsia" w:ascii="仿宋_GB2312" w:hAnsi="仿宋_GB2312" w:eastAsia="仿宋_GB2312" w:cs="仿宋_GB2312"/>
          <w:sz w:val="32"/>
          <w:szCs w:val="32"/>
        </w:rPr>
        <w:t>在已确立的郑州市重点建设专业的基础上，实施郑州市中等职业学校品牌专业立项建设工作。组织国家及省市专家对15所中职学校的23个专业进行品牌立项初评工作。</w:t>
      </w:r>
      <w:r>
        <w:rPr>
          <w:rFonts w:hint="eastAsia" w:ascii="仿宋_GB2312" w:hAnsi="仿宋_GB2312" w:eastAsia="仿宋_GB2312" w:cs="仿宋_GB2312"/>
          <w:b/>
          <w:bCs/>
          <w:sz w:val="32"/>
          <w:szCs w:val="32"/>
        </w:rPr>
        <w:t>三是</w:t>
      </w:r>
      <w:r>
        <w:rPr>
          <w:rFonts w:hint="eastAsia" w:ascii="仿宋_GB2312" w:hAnsi="仿宋_GB2312" w:eastAsia="仿宋_GB2312" w:cs="仿宋_GB2312"/>
          <w:sz w:val="32"/>
          <w:szCs w:val="32"/>
        </w:rPr>
        <w:t>督促已成立的市级专业技能工作室开展相应的的建设工作。</w:t>
      </w:r>
      <w:r>
        <w:rPr>
          <w:rFonts w:hint="eastAsia" w:ascii="仿宋_GB2312" w:hAnsi="仿宋_GB2312" w:eastAsia="仿宋_GB2312" w:cs="仿宋_GB2312"/>
          <w:b/>
          <w:bCs/>
          <w:sz w:val="32"/>
          <w:szCs w:val="32"/>
        </w:rPr>
        <w:t>四是</w:t>
      </w:r>
      <w:r>
        <w:rPr>
          <w:rFonts w:hint="eastAsia" w:ascii="仿宋_GB2312" w:hAnsi="仿宋_GB2312" w:eastAsia="仿宋_GB2312" w:cs="仿宋_GB2312"/>
          <w:sz w:val="32"/>
          <w:szCs w:val="32"/>
        </w:rPr>
        <w:t>指导市属中职学校进一步完善各个专业和学科的人才培养方案，确保学校人才培养工作有规范、有标准、有路径、有保障。</w:t>
      </w:r>
      <w:r>
        <w:rPr>
          <w:rFonts w:hint="eastAsia" w:ascii="宋体" w:hAnsi="宋体"/>
          <w:b/>
          <w:sz w:val="32"/>
          <w:szCs w:val="32"/>
        </w:rPr>
        <w:t xml:space="preserve">    </w:t>
      </w:r>
    </w:p>
    <w:p>
      <w:pPr>
        <w:jc w:val="center"/>
        <w:rPr>
          <w:rFonts w:ascii="宋体" w:hAnsi="宋体"/>
          <w:b/>
          <w:sz w:val="32"/>
          <w:szCs w:val="32"/>
        </w:rPr>
      </w:pPr>
      <w:r>
        <w:rPr>
          <w:rFonts w:hint="eastAsia" w:ascii="宋体" w:hAnsi="宋体"/>
          <w:b/>
          <w:sz w:val="28"/>
          <w:szCs w:val="28"/>
        </w:rPr>
        <w:t>表3-2：郑州市中等职业学校重点建设专业名单（30个）</w:t>
      </w:r>
    </w:p>
    <w:tbl>
      <w:tblPr>
        <w:tblStyle w:val="13"/>
        <w:tblW w:w="8606"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2778"/>
        <w:gridCol w:w="3525"/>
        <w:gridCol w:w="1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2" w:type="dxa"/>
            <w:shd w:val="clear" w:color="auto" w:fill="D9E2F3" w:themeFill="accent5" w:themeFillTint="33"/>
            <w:vAlign w:val="center"/>
          </w:tcPr>
          <w:p>
            <w:pPr>
              <w:spacing w:line="360" w:lineRule="auto"/>
              <w:jc w:val="center"/>
              <w:rPr>
                <w:rFonts w:ascii="宋体" w:hAnsi="宋体" w:cs="宋体"/>
                <w:b/>
                <w:bCs/>
                <w:sz w:val="24"/>
                <w:szCs w:val="24"/>
              </w:rPr>
            </w:pPr>
            <w:r>
              <w:rPr>
                <w:rFonts w:hint="eastAsia" w:ascii="宋体" w:hAnsi="宋体" w:cs="宋体"/>
                <w:b/>
                <w:bCs/>
                <w:sz w:val="24"/>
                <w:szCs w:val="24"/>
              </w:rPr>
              <w:t>序号</w:t>
            </w:r>
          </w:p>
        </w:tc>
        <w:tc>
          <w:tcPr>
            <w:tcW w:w="2778" w:type="dxa"/>
            <w:shd w:val="clear" w:color="auto" w:fill="D9E2F3" w:themeFill="accent5" w:themeFillTint="33"/>
            <w:vAlign w:val="center"/>
          </w:tcPr>
          <w:p>
            <w:pPr>
              <w:spacing w:line="360" w:lineRule="auto"/>
              <w:ind w:left="99" w:leftChars="47"/>
              <w:jc w:val="center"/>
              <w:rPr>
                <w:rFonts w:ascii="宋体" w:hAnsi="宋体" w:cs="宋体"/>
                <w:b/>
                <w:bCs/>
                <w:sz w:val="24"/>
                <w:szCs w:val="24"/>
              </w:rPr>
            </w:pPr>
            <w:r>
              <w:rPr>
                <w:rFonts w:hint="eastAsia" w:ascii="宋体" w:hAnsi="宋体" w:cs="宋体"/>
                <w:b/>
                <w:bCs/>
                <w:sz w:val="24"/>
                <w:szCs w:val="24"/>
              </w:rPr>
              <w:t>重点建设专业名称</w:t>
            </w:r>
          </w:p>
        </w:tc>
        <w:tc>
          <w:tcPr>
            <w:tcW w:w="3525" w:type="dxa"/>
            <w:shd w:val="clear" w:color="auto" w:fill="D9E2F3" w:themeFill="accent5" w:themeFillTint="33"/>
            <w:vAlign w:val="center"/>
          </w:tcPr>
          <w:p>
            <w:pPr>
              <w:spacing w:line="360" w:lineRule="auto"/>
              <w:jc w:val="center"/>
              <w:rPr>
                <w:rFonts w:ascii="宋体" w:hAnsi="宋体" w:cs="宋体"/>
                <w:b/>
                <w:bCs/>
                <w:sz w:val="24"/>
                <w:szCs w:val="24"/>
              </w:rPr>
            </w:pPr>
            <w:r>
              <w:rPr>
                <w:rFonts w:hint="eastAsia" w:ascii="宋体" w:hAnsi="宋体" w:cs="宋体"/>
                <w:b/>
                <w:bCs/>
                <w:sz w:val="24"/>
                <w:szCs w:val="24"/>
              </w:rPr>
              <w:t>项目学校</w:t>
            </w:r>
          </w:p>
        </w:tc>
        <w:tc>
          <w:tcPr>
            <w:tcW w:w="1481" w:type="dxa"/>
            <w:shd w:val="clear" w:color="auto" w:fill="D9E2F3" w:themeFill="accent5" w:themeFillTint="33"/>
            <w:vAlign w:val="center"/>
          </w:tcPr>
          <w:p>
            <w:pPr>
              <w:spacing w:line="360" w:lineRule="auto"/>
              <w:jc w:val="center"/>
              <w:rPr>
                <w:rFonts w:ascii="宋体" w:hAnsi="宋体" w:cs="宋体"/>
                <w:b/>
                <w:bCs/>
                <w:sz w:val="24"/>
                <w:szCs w:val="24"/>
              </w:rPr>
            </w:pPr>
            <w:r>
              <w:rPr>
                <w:rFonts w:hint="eastAsia" w:ascii="宋体" w:hAnsi="宋体" w:cs="宋体"/>
                <w:b/>
                <w:bCs/>
                <w:sz w:val="24"/>
                <w:szCs w:val="24"/>
              </w:rPr>
              <w:t>批次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822" w:type="dxa"/>
            <w:shd w:val="clear" w:color="auto" w:fill="D9E2F3" w:themeFill="accent5" w:themeFillTint="33"/>
            <w:vAlign w:val="center"/>
          </w:tcPr>
          <w:p>
            <w:pPr>
              <w:spacing w:line="360" w:lineRule="auto"/>
              <w:jc w:val="center"/>
              <w:rPr>
                <w:rFonts w:ascii="宋体" w:hAnsi="宋体" w:cs="宋体"/>
                <w:sz w:val="24"/>
                <w:szCs w:val="24"/>
              </w:rPr>
            </w:pPr>
            <w:r>
              <w:rPr>
                <w:rFonts w:hint="eastAsia" w:ascii="宋体" w:hAnsi="宋体" w:cs="宋体"/>
                <w:sz w:val="24"/>
                <w:szCs w:val="24"/>
              </w:rPr>
              <w:t>1</w:t>
            </w:r>
          </w:p>
        </w:tc>
        <w:tc>
          <w:tcPr>
            <w:tcW w:w="2778" w:type="dxa"/>
            <w:shd w:val="clear" w:color="auto" w:fill="C5E0B3" w:themeFill="accent6" w:themeFillTint="66"/>
            <w:vAlign w:val="center"/>
          </w:tcPr>
          <w:p>
            <w:pPr>
              <w:spacing w:line="360" w:lineRule="auto"/>
              <w:rPr>
                <w:rFonts w:ascii="宋体" w:hAnsi="宋体" w:cs="宋体"/>
                <w:sz w:val="24"/>
                <w:szCs w:val="24"/>
              </w:rPr>
            </w:pPr>
            <w:r>
              <w:rPr>
                <w:rFonts w:hint="eastAsia" w:ascii="宋体" w:hAnsi="宋体" w:cs="宋体"/>
                <w:sz w:val="24"/>
                <w:szCs w:val="24"/>
              </w:rPr>
              <w:t>学前教育</w:t>
            </w:r>
          </w:p>
        </w:tc>
        <w:tc>
          <w:tcPr>
            <w:tcW w:w="3525" w:type="dxa"/>
            <w:shd w:val="clear" w:color="auto" w:fill="C5E0B3" w:themeFill="accent6" w:themeFillTint="66"/>
            <w:vAlign w:val="center"/>
          </w:tcPr>
          <w:p>
            <w:pPr>
              <w:spacing w:line="360" w:lineRule="auto"/>
              <w:rPr>
                <w:rFonts w:ascii="宋体" w:hAnsi="宋体" w:cs="宋体"/>
                <w:sz w:val="24"/>
                <w:szCs w:val="24"/>
              </w:rPr>
            </w:pPr>
            <w:r>
              <w:rPr>
                <w:rFonts w:hint="eastAsia" w:ascii="宋体" w:hAnsi="宋体" w:cs="宋体"/>
                <w:sz w:val="24"/>
                <w:szCs w:val="24"/>
              </w:rPr>
              <w:t>郑州艺术幼儿师范学校</w:t>
            </w:r>
          </w:p>
        </w:tc>
        <w:tc>
          <w:tcPr>
            <w:tcW w:w="1481" w:type="dxa"/>
            <w:vMerge w:val="restart"/>
            <w:shd w:val="clear" w:color="auto" w:fill="C5E0B3" w:themeFill="accent6" w:themeFillTint="66"/>
            <w:vAlign w:val="center"/>
          </w:tcPr>
          <w:p>
            <w:pPr>
              <w:spacing w:line="360" w:lineRule="auto"/>
              <w:jc w:val="center"/>
              <w:rPr>
                <w:rFonts w:ascii="宋体" w:hAnsi="宋体" w:cs="宋体"/>
                <w:sz w:val="24"/>
                <w:szCs w:val="24"/>
              </w:rPr>
            </w:pPr>
            <w:r>
              <w:rPr>
                <w:rFonts w:hint="eastAsia" w:ascii="宋体" w:hAnsi="宋体" w:cs="宋体"/>
                <w:sz w:val="24"/>
                <w:szCs w:val="24"/>
              </w:rPr>
              <w:t>第一批</w:t>
            </w:r>
          </w:p>
          <w:p>
            <w:pPr>
              <w:spacing w:line="360" w:lineRule="auto"/>
              <w:jc w:val="center"/>
              <w:rPr>
                <w:rFonts w:ascii="宋体" w:hAnsi="宋体" w:cs="宋体"/>
                <w:sz w:val="24"/>
                <w:szCs w:val="24"/>
              </w:rPr>
            </w:pPr>
            <w:r>
              <w:rPr>
                <w:rFonts w:hint="eastAsia" w:ascii="宋体" w:hAnsi="宋体" w:cs="宋体"/>
                <w:sz w:val="24"/>
                <w:szCs w:val="24"/>
              </w:rPr>
              <w:t>9个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822" w:type="dxa"/>
            <w:shd w:val="clear" w:color="auto" w:fill="D9E2F3" w:themeFill="accent5" w:themeFillTint="33"/>
            <w:vAlign w:val="center"/>
          </w:tcPr>
          <w:p>
            <w:pPr>
              <w:spacing w:line="360" w:lineRule="auto"/>
              <w:jc w:val="center"/>
              <w:rPr>
                <w:rFonts w:ascii="宋体" w:hAnsi="宋体" w:cs="宋体"/>
                <w:sz w:val="24"/>
                <w:szCs w:val="24"/>
              </w:rPr>
            </w:pPr>
            <w:r>
              <w:rPr>
                <w:rFonts w:hint="eastAsia" w:ascii="宋体" w:hAnsi="宋体" w:cs="宋体"/>
                <w:sz w:val="24"/>
                <w:szCs w:val="24"/>
              </w:rPr>
              <w:t>2</w:t>
            </w:r>
          </w:p>
        </w:tc>
        <w:tc>
          <w:tcPr>
            <w:tcW w:w="2778" w:type="dxa"/>
            <w:shd w:val="clear" w:color="auto" w:fill="C5E0B3" w:themeFill="accent6" w:themeFillTint="66"/>
            <w:vAlign w:val="center"/>
          </w:tcPr>
          <w:p>
            <w:pPr>
              <w:spacing w:line="360" w:lineRule="auto"/>
              <w:rPr>
                <w:rFonts w:ascii="宋体" w:hAnsi="宋体" w:cs="宋体"/>
                <w:sz w:val="24"/>
                <w:szCs w:val="24"/>
              </w:rPr>
            </w:pPr>
            <w:r>
              <w:rPr>
                <w:rFonts w:hint="eastAsia" w:ascii="宋体" w:hAnsi="宋体" w:cs="宋体"/>
                <w:sz w:val="24"/>
                <w:szCs w:val="24"/>
              </w:rPr>
              <w:t>会计</w:t>
            </w:r>
          </w:p>
        </w:tc>
        <w:tc>
          <w:tcPr>
            <w:tcW w:w="3525" w:type="dxa"/>
            <w:shd w:val="clear" w:color="auto" w:fill="C5E0B3" w:themeFill="accent6" w:themeFillTint="66"/>
            <w:vAlign w:val="center"/>
          </w:tcPr>
          <w:p>
            <w:pPr>
              <w:spacing w:line="360" w:lineRule="auto"/>
              <w:rPr>
                <w:rFonts w:ascii="宋体" w:hAnsi="宋体" w:cs="宋体"/>
                <w:sz w:val="24"/>
                <w:szCs w:val="24"/>
              </w:rPr>
            </w:pPr>
            <w:r>
              <w:rPr>
                <w:rFonts w:hint="eastAsia" w:ascii="宋体" w:hAnsi="宋体" w:cs="宋体"/>
                <w:sz w:val="24"/>
                <w:szCs w:val="24"/>
              </w:rPr>
              <w:t>郑州市经济贸易学校</w:t>
            </w:r>
          </w:p>
        </w:tc>
        <w:tc>
          <w:tcPr>
            <w:tcW w:w="1481" w:type="dxa"/>
            <w:vMerge w:val="continue"/>
            <w:shd w:val="clear" w:color="auto" w:fill="C5E0B3" w:themeFill="accent6" w:themeFillTint="66"/>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2" w:type="dxa"/>
            <w:shd w:val="clear" w:color="auto" w:fill="D9E2F3" w:themeFill="accent5" w:themeFillTint="33"/>
            <w:vAlign w:val="center"/>
          </w:tcPr>
          <w:p>
            <w:pPr>
              <w:spacing w:line="360" w:lineRule="auto"/>
              <w:jc w:val="center"/>
              <w:rPr>
                <w:rFonts w:ascii="宋体" w:hAnsi="宋体" w:cs="宋体"/>
                <w:sz w:val="24"/>
                <w:szCs w:val="24"/>
              </w:rPr>
            </w:pPr>
            <w:r>
              <w:rPr>
                <w:rFonts w:hint="eastAsia" w:ascii="宋体" w:hAnsi="宋体" w:cs="宋体"/>
                <w:sz w:val="24"/>
                <w:szCs w:val="24"/>
              </w:rPr>
              <w:t>3</w:t>
            </w:r>
          </w:p>
        </w:tc>
        <w:tc>
          <w:tcPr>
            <w:tcW w:w="2778" w:type="dxa"/>
            <w:shd w:val="clear" w:color="auto" w:fill="C5E0B3" w:themeFill="accent6" w:themeFillTint="66"/>
            <w:vAlign w:val="center"/>
          </w:tcPr>
          <w:p>
            <w:pPr>
              <w:spacing w:line="360" w:lineRule="auto"/>
              <w:rPr>
                <w:rFonts w:ascii="宋体" w:hAnsi="宋体" w:cs="宋体"/>
                <w:sz w:val="24"/>
                <w:szCs w:val="24"/>
              </w:rPr>
            </w:pPr>
            <w:r>
              <w:rPr>
                <w:rFonts w:hint="eastAsia" w:ascii="宋体" w:hAnsi="宋体" w:cs="宋体"/>
                <w:sz w:val="24"/>
                <w:szCs w:val="24"/>
              </w:rPr>
              <w:t>计算机平面设计</w:t>
            </w:r>
          </w:p>
        </w:tc>
        <w:tc>
          <w:tcPr>
            <w:tcW w:w="3525" w:type="dxa"/>
            <w:shd w:val="clear" w:color="auto" w:fill="C5E0B3" w:themeFill="accent6" w:themeFillTint="66"/>
            <w:vAlign w:val="center"/>
          </w:tcPr>
          <w:p>
            <w:pPr>
              <w:spacing w:line="360" w:lineRule="auto"/>
              <w:rPr>
                <w:rFonts w:ascii="宋体" w:hAnsi="宋体" w:cs="宋体"/>
                <w:sz w:val="24"/>
                <w:szCs w:val="24"/>
              </w:rPr>
            </w:pPr>
            <w:r>
              <w:rPr>
                <w:rFonts w:hint="eastAsia" w:ascii="宋体" w:hAnsi="宋体" w:cs="宋体"/>
                <w:sz w:val="24"/>
                <w:szCs w:val="24"/>
              </w:rPr>
              <w:t>郑州市信息技术学校</w:t>
            </w:r>
          </w:p>
        </w:tc>
        <w:tc>
          <w:tcPr>
            <w:tcW w:w="1481" w:type="dxa"/>
            <w:vMerge w:val="continue"/>
            <w:shd w:val="clear" w:color="auto" w:fill="C5E0B3" w:themeFill="accent6" w:themeFillTint="66"/>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822" w:type="dxa"/>
            <w:shd w:val="clear" w:color="auto" w:fill="D9E2F3" w:themeFill="accent5" w:themeFillTint="33"/>
            <w:vAlign w:val="center"/>
          </w:tcPr>
          <w:p>
            <w:pPr>
              <w:spacing w:line="360" w:lineRule="auto"/>
              <w:jc w:val="center"/>
              <w:rPr>
                <w:rFonts w:ascii="宋体" w:hAnsi="宋体" w:cs="宋体"/>
                <w:sz w:val="24"/>
                <w:szCs w:val="24"/>
              </w:rPr>
            </w:pPr>
            <w:r>
              <w:rPr>
                <w:rFonts w:hint="eastAsia" w:ascii="宋体" w:hAnsi="宋体" w:cs="宋体"/>
                <w:sz w:val="24"/>
                <w:szCs w:val="24"/>
              </w:rPr>
              <w:t>4</w:t>
            </w:r>
          </w:p>
        </w:tc>
        <w:tc>
          <w:tcPr>
            <w:tcW w:w="2778" w:type="dxa"/>
            <w:shd w:val="clear" w:color="auto" w:fill="C5E0B3" w:themeFill="accent6" w:themeFillTint="66"/>
            <w:vAlign w:val="center"/>
          </w:tcPr>
          <w:p>
            <w:pPr>
              <w:spacing w:line="360" w:lineRule="auto"/>
              <w:rPr>
                <w:rFonts w:ascii="宋体" w:hAnsi="宋体" w:cs="宋体"/>
                <w:sz w:val="24"/>
                <w:szCs w:val="24"/>
              </w:rPr>
            </w:pPr>
            <w:r>
              <w:rPr>
                <w:rFonts w:hint="eastAsia" w:ascii="宋体" w:hAnsi="宋体" w:cs="宋体"/>
                <w:sz w:val="24"/>
                <w:szCs w:val="24"/>
              </w:rPr>
              <w:t>机电技术应用</w:t>
            </w:r>
          </w:p>
        </w:tc>
        <w:tc>
          <w:tcPr>
            <w:tcW w:w="3525" w:type="dxa"/>
            <w:shd w:val="clear" w:color="auto" w:fill="C5E0B3" w:themeFill="accent6" w:themeFillTint="66"/>
            <w:vAlign w:val="center"/>
          </w:tcPr>
          <w:p>
            <w:pPr>
              <w:spacing w:line="360" w:lineRule="auto"/>
              <w:rPr>
                <w:rFonts w:ascii="宋体" w:hAnsi="宋体" w:cs="宋体"/>
                <w:sz w:val="24"/>
                <w:szCs w:val="24"/>
              </w:rPr>
            </w:pPr>
            <w:r>
              <w:rPr>
                <w:rFonts w:hint="eastAsia" w:ascii="宋体" w:hAnsi="宋体" w:cs="宋体"/>
                <w:sz w:val="24"/>
                <w:szCs w:val="24"/>
              </w:rPr>
              <w:t>郑州市电子信息工程学校</w:t>
            </w:r>
          </w:p>
        </w:tc>
        <w:tc>
          <w:tcPr>
            <w:tcW w:w="1481" w:type="dxa"/>
            <w:vMerge w:val="continue"/>
            <w:shd w:val="clear" w:color="auto" w:fill="C5E0B3" w:themeFill="accent6" w:themeFillTint="66"/>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822" w:type="dxa"/>
            <w:shd w:val="clear" w:color="auto" w:fill="D9E2F3" w:themeFill="accent5" w:themeFillTint="33"/>
            <w:vAlign w:val="center"/>
          </w:tcPr>
          <w:p>
            <w:pPr>
              <w:spacing w:line="360" w:lineRule="auto"/>
              <w:jc w:val="center"/>
              <w:rPr>
                <w:rFonts w:ascii="宋体" w:hAnsi="宋体" w:cs="宋体"/>
                <w:sz w:val="24"/>
                <w:szCs w:val="24"/>
              </w:rPr>
            </w:pPr>
            <w:r>
              <w:rPr>
                <w:rFonts w:hint="eastAsia" w:ascii="宋体" w:hAnsi="宋体" w:cs="宋体"/>
                <w:sz w:val="24"/>
                <w:szCs w:val="24"/>
              </w:rPr>
              <w:t>5</w:t>
            </w:r>
          </w:p>
        </w:tc>
        <w:tc>
          <w:tcPr>
            <w:tcW w:w="2778" w:type="dxa"/>
            <w:shd w:val="clear" w:color="auto" w:fill="C5E0B3" w:themeFill="accent6" w:themeFillTint="66"/>
            <w:vAlign w:val="center"/>
          </w:tcPr>
          <w:p>
            <w:pPr>
              <w:spacing w:line="360" w:lineRule="auto"/>
              <w:rPr>
                <w:rFonts w:ascii="宋体" w:hAnsi="宋体" w:cs="宋体"/>
                <w:sz w:val="24"/>
                <w:szCs w:val="24"/>
              </w:rPr>
            </w:pPr>
            <w:r>
              <w:rPr>
                <w:rFonts w:hint="eastAsia" w:ascii="宋体" w:hAnsi="宋体" w:cs="宋体"/>
                <w:sz w:val="24"/>
                <w:szCs w:val="24"/>
              </w:rPr>
              <w:t>高星级饭店运营与管理</w:t>
            </w:r>
          </w:p>
        </w:tc>
        <w:tc>
          <w:tcPr>
            <w:tcW w:w="3525" w:type="dxa"/>
            <w:shd w:val="clear" w:color="auto" w:fill="C5E0B3" w:themeFill="accent6" w:themeFillTint="66"/>
            <w:vAlign w:val="center"/>
          </w:tcPr>
          <w:p>
            <w:pPr>
              <w:spacing w:line="360" w:lineRule="auto"/>
              <w:rPr>
                <w:rFonts w:ascii="宋体" w:hAnsi="宋体" w:cs="宋体"/>
                <w:sz w:val="24"/>
                <w:szCs w:val="24"/>
              </w:rPr>
            </w:pPr>
            <w:r>
              <w:rPr>
                <w:rFonts w:hint="eastAsia" w:ascii="宋体" w:hAnsi="宋体" w:cs="宋体"/>
                <w:sz w:val="24"/>
                <w:szCs w:val="24"/>
              </w:rPr>
              <w:t>郑州市财贸学校</w:t>
            </w:r>
          </w:p>
        </w:tc>
        <w:tc>
          <w:tcPr>
            <w:tcW w:w="1481" w:type="dxa"/>
            <w:vMerge w:val="continue"/>
            <w:shd w:val="clear" w:color="auto" w:fill="C5E0B3" w:themeFill="accent6" w:themeFillTint="66"/>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22" w:type="dxa"/>
            <w:shd w:val="clear" w:color="auto" w:fill="D9E2F3" w:themeFill="accent5" w:themeFillTint="33"/>
            <w:vAlign w:val="center"/>
          </w:tcPr>
          <w:p>
            <w:pPr>
              <w:spacing w:line="360" w:lineRule="auto"/>
              <w:jc w:val="center"/>
              <w:rPr>
                <w:rFonts w:ascii="宋体" w:hAnsi="宋体" w:cs="宋体"/>
                <w:sz w:val="24"/>
                <w:szCs w:val="24"/>
              </w:rPr>
            </w:pPr>
            <w:r>
              <w:rPr>
                <w:rFonts w:hint="eastAsia" w:ascii="宋体" w:hAnsi="宋体" w:cs="宋体"/>
                <w:sz w:val="24"/>
                <w:szCs w:val="24"/>
              </w:rPr>
              <w:t>6</w:t>
            </w:r>
          </w:p>
        </w:tc>
        <w:tc>
          <w:tcPr>
            <w:tcW w:w="2778" w:type="dxa"/>
            <w:shd w:val="clear" w:color="auto" w:fill="C5E0B3" w:themeFill="accent6" w:themeFillTint="66"/>
            <w:vAlign w:val="center"/>
          </w:tcPr>
          <w:p>
            <w:pPr>
              <w:spacing w:line="360" w:lineRule="auto"/>
              <w:rPr>
                <w:rFonts w:ascii="宋体" w:hAnsi="宋体" w:cs="宋体"/>
                <w:sz w:val="24"/>
                <w:szCs w:val="24"/>
              </w:rPr>
            </w:pPr>
            <w:r>
              <w:rPr>
                <w:rFonts w:hint="eastAsia" w:ascii="宋体" w:hAnsi="宋体" w:cs="宋体"/>
                <w:sz w:val="24"/>
                <w:szCs w:val="24"/>
              </w:rPr>
              <w:t>汽车运用与维修</w:t>
            </w:r>
          </w:p>
        </w:tc>
        <w:tc>
          <w:tcPr>
            <w:tcW w:w="3525" w:type="dxa"/>
            <w:shd w:val="clear" w:color="auto" w:fill="C5E0B3" w:themeFill="accent6" w:themeFillTint="66"/>
            <w:vAlign w:val="center"/>
          </w:tcPr>
          <w:p>
            <w:pPr>
              <w:spacing w:line="360" w:lineRule="auto"/>
              <w:rPr>
                <w:rFonts w:ascii="宋体" w:hAnsi="宋体" w:cs="宋体"/>
                <w:sz w:val="24"/>
                <w:szCs w:val="24"/>
              </w:rPr>
            </w:pPr>
            <w:r>
              <w:rPr>
                <w:rFonts w:hint="eastAsia" w:ascii="宋体" w:hAnsi="宋体" w:cs="宋体"/>
                <w:sz w:val="24"/>
                <w:szCs w:val="24"/>
              </w:rPr>
              <w:t>郑州市国防科技学校</w:t>
            </w:r>
          </w:p>
        </w:tc>
        <w:tc>
          <w:tcPr>
            <w:tcW w:w="1481" w:type="dxa"/>
            <w:vMerge w:val="continue"/>
            <w:shd w:val="clear" w:color="auto" w:fill="C5E0B3" w:themeFill="accent6" w:themeFillTint="66"/>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2" w:type="dxa"/>
            <w:shd w:val="clear" w:color="auto" w:fill="D9E2F3" w:themeFill="accent5" w:themeFillTint="33"/>
            <w:vAlign w:val="center"/>
          </w:tcPr>
          <w:p>
            <w:pPr>
              <w:spacing w:line="360" w:lineRule="auto"/>
              <w:jc w:val="center"/>
              <w:rPr>
                <w:rFonts w:ascii="宋体" w:hAnsi="宋体" w:cs="宋体"/>
                <w:sz w:val="24"/>
                <w:szCs w:val="24"/>
              </w:rPr>
            </w:pPr>
            <w:r>
              <w:rPr>
                <w:rFonts w:hint="eastAsia" w:ascii="宋体" w:hAnsi="宋体" w:cs="宋体"/>
                <w:sz w:val="24"/>
                <w:szCs w:val="24"/>
              </w:rPr>
              <w:t>7</w:t>
            </w:r>
          </w:p>
        </w:tc>
        <w:tc>
          <w:tcPr>
            <w:tcW w:w="2778" w:type="dxa"/>
            <w:shd w:val="clear" w:color="auto" w:fill="C5E0B3" w:themeFill="accent6" w:themeFillTint="66"/>
            <w:vAlign w:val="center"/>
          </w:tcPr>
          <w:p>
            <w:pPr>
              <w:spacing w:line="360" w:lineRule="auto"/>
              <w:rPr>
                <w:rFonts w:ascii="宋体" w:hAnsi="宋体" w:cs="宋体"/>
                <w:sz w:val="24"/>
                <w:szCs w:val="24"/>
              </w:rPr>
            </w:pPr>
            <w:r>
              <w:rPr>
                <w:rFonts w:hint="eastAsia" w:ascii="宋体" w:hAnsi="宋体" w:cs="宋体"/>
                <w:sz w:val="24"/>
                <w:szCs w:val="24"/>
              </w:rPr>
              <w:t>数字媒体技术应用</w:t>
            </w:r>
          </w:p>
        </w:tc>
        <w:tc>
          <w:tcPr>
            <w:tcW w:w="3525" w:type="dxa"/>
            <w:shd w:val="clear" w:color="auto" w:fill="C5E0B3" w:themeFill="accent6" w:themeFillTint="66"/>
            <w:vAlign w:val="center"/>
          </w:tcPr>
          <w:p>
            <w:pPr>
              <w:spacing w:line="360" w:lineRule="auto"/>
              <w:rPr>
                <w:rFonts w:ascii="宋体" w:hAnsi="宋体" w:cs="宋体"/>
                <w:sz w:val="24"/>
                <w:szCs w:val="24"/>
              </w:rPr>
            </w:pPr>
            <w:r>
              <w:rPr>
                <w:rFonts w:hint="eastAsia" w:ascii="宋体" w:hAnsi="宋体" w:cs="宋体"/>
                <w:sz w:val="24"/>
                <w:szCs w:val="24"/>
              </w:rPr>
              <w:t>郑州市金融学校</w:t>
            </w:r>
          </w:p>
        </w:tc>
        <w:tc>
          <w:tcPr>
            <w:tcW w:w="1481" w:type="dxa"/>
            <w:vMerge w:val="continue"/>
            <w:shd w:val="clear" w:color="auto" w:fill="C5E0B3" w:themeFill="accent6" w:themeFillTint="66"/>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822" w:type="dxa"/>
            <w:shd w:val="clear" w:color="auto" w:fill="D9E2F3" w:themeFill="accent5" w:themeFillTint="33"/>
            <w:vAlign w:val="center"/>
          </w:tcPr>
          <w:p>
            <w:pPr>
              <w:spacing w:line="360" w:lineRule="auto"/>
              <w:jc w:val="center"/>
              <w:rPr>
                <w:rFonts w:ascii="宋体" w:hAnsi="宋体" w:cs="宋体"/>
                <w:sz w:val="24"/>
                <w:szCs w:val="24"/>
              </w:rPr>
            </w:pPr>
            <w:r>
              <w:rPr>
                <w:rFonts w:hint="eastAsia" w:ascii="宋体" w:hAnsi="宋体" w:cs="宋体"/>
                <w:sz w:val="24"/>
                <w:szCs w:val="24"/>
              </w:rPr>
              <w:t>8</w:t>
            </w:r>
          </w:p>
        </w:tc>
        <w:tc>
          <w:tcPr>
            <w:tcW w:w="2778" w:type="dxa"/>
            <w:shd w:val="clear" w:color="auto" w:fill="C5E0B3" w:themeFill="accent6" w:themeFillTint="66"/>
            <w:vAlign w:val="center"/>
          </w:tcPr>
          <w:p>
            <w:pPr>
              <w:spacing w:line="360" w:lineRule="auto"/>
              <w:rPr>
                <w:rFonts w:ascii="宋体" w:hAnsi="宋体" w:cs="宋体"/>
                <w:sz w:val="24"/>
                <w:szCs w:val="24"/>
              </w:rPr>
            </w:pPr>
            <w:r>
              <w:rPr>
                <w:rFonts w:hint="eastAsia" w:ascii="宋体" w:hAnsi="宋体" w:cs="宋体"/>
                <w:sz w:val="24"/>
                <w:szCs w:val="24"/>
              </w:rPr>
              <w:t>电子商务</w:t>
            </w:r>
          </w:p>
        </w:tc>
        <w:tc>
          <w:tcPr>
            <w:tcW w:w="3525" w:type="dxa"/>
            <w:shd w:val="clear" w:color="auto" w:fill="C5E0B3" w:themeFill="accent6" w:themeFillTint="66"/>
            <w:vAlign w:val="center"/>
          </w:tcPr>
          <w:p>
            <w:pPr>
              <w:spacing w:line="360" w:lineRule="auto"/>
              <w:ind w:left="36"/>
              <w:rPr>
                <w:rFonts w:ascii="宋体" w:hAnsi="宋体" w:cs="宋体"/>
                <w:sz w:val="24"/>
                <w:szCs w:val="24"/>
              </w:rPr>
            </w:pPr>
            <w:r>
              <w:rPr>
                <w:rFonts w:hint="eastAsia" w:ascii="宋体" w:hAnsi="宋体" w:cs="宋体"/>
                <w:sz w:val="24"/>
                <w:szCs w:val="24"/>
              </w:rPr>
              <w:t>郑州市商贸管理学校</w:t>
            </w:r>
          </w:p>
        </w:tc>
        <w:tc>
          <w:tcPr>
            <w:tcW w:w="1481" w:type="dxa"/>
            <w:vMerge w:val="continue"/>
            <w:shd w:val="clear" w:color="auto" w:fill="C5E0B3" w:themeFill="accent6" w:themeFillTint="66"/>
            <w:vAlign w:val="center"/>
          </w:tcPr>
          <w:p>
            <w:pPr>
              <w:spacing w:line="360" w:lineRule="auto"/>
              <w:ind w:left="36"/>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2" w:type="dxa"/>
            <w:shd w:val="clear" w:color="auto" w:fill="D9E2F3" w:themeFill="accent5" w:themeFillTint="33"/>
            <w:vAlign w:val="center"/>
          </w:tcPr>
          <w:p>
            <w:pPr>
              <w:spacing w:line="360" w:lineRule="auto"/>
              <w:jc w:val="center"/>
              <w:rPr>
                <w:rFonts w:ascii="宋体" w:hAnsi="宋体" w:cs="宋体"/>
                <w:sz w:val="24"/>
                <w:szCs w:val="24"/>
              </w:rPr>
            </w:pPr>
            <w:r>
              <w:rPr>
                <w:rFonts w:hint="eastAsia" w:ascii="宋体" w:hAnsi="宋体" w:cs="宋体"/>
                <w:sz w:val="24"/>
                <w:szCs w:val="24"/>
              </w:rPr>
              <w:t>9</w:t>
            </w:r>
          </w:p>
        </w:tc>
        <w:tc>
          <w:tcPr>
            <w:tcW w:w="2778" w:type="dxa"/>
            <w:shd w:val="clear" w:color="auto" w:fill="C5E0B3" w:themeFill="accent6" w:themeFillTint="66"/>
            <w:vAlign w:val="center"/>
          </w:tcPr>
          <w:p>
            <w:pPr>
              <w:spacing w:line="360" w:lineRule="auto"/>
              <w:rPr>
                <w:rFonts w:ascii="宋体" w:hAnsi="宋体" w:cs="宋体"/>
                <w:sz w:val="24"/>
                <w:szCs w:val="24"/>
              </w:rPr>
            </w:pPr>
            <w:r>
              <w:rPr>
                <w:rFonts w:hint="eastAsia" w:ascii="宋体" w:hAnsi="宋体" w:cs="宋体"/>
                <w:sz w:val="24"/>
                <w:szCs w:val="24"/>
              </w:rPr>
              <w:t>服装制作与生产管理</w:t>
            </w:r>
          </w:p>
        </w:tc>
        <w:tc>
          <w:tcPr>
            <w:tcW w:w="3525" w:type="dxa"/>
            <w:shd w:val="clear" w:color="auto" w:fill="C5E0B3" w:themeFill="accent6" w:themeFillTint="66"/>
            <w:vAlign w:val="center"/>
          </w:tcPr>
          <w:p>
            <w:pPr>
              <w:spacing w:line="360" w:lineRule="auto"/>
              <w:rPr>
                <w:rFonts w:ascii="宋体" w:hAnsi="宋体" w:cs="宋体"/>
                <w:sz w:val="24"/>
                <w:szCs w:val="24"/>
              </w:rPr>
            </w:pPr>
            <w:r>
              <w:rPr>
                <w:rFonts w:hint="eastAsia" w:ascii="宋体" w:hAnsi="宋体" w:cs="宋体"/>
                <w:sz w:val="24"/>
                <w:szCs w:val="24"/>
              </w:rPr>
              <w:t>郑州市科技工业学校</w:t>
            </w:r>
          </w:p>
        </w:tc>
        <w:tc>
          <w:tcPr>
            <w:tcW w:w="1481" w:type="dxa"/>
            <w:vMerge w:val="continue"/>
            <w:shd w:val="clear" w:color="auto" w:fill="C5E0B3" w:themeFill="accent6" w:themeFillTint="66"/>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2" w:type="dxa"/>
            <w:shd w:val="clear" w:color="auto" w:fill="D9E2F3" w:themeFill="accent5" w:themeFillTint="33"/>
            <w:vAlign w:val="center"/>
          </w:tcPr>
          <w:p>
            <w:pPr>
              <w:spacing w:line="360" w:lineRule="auto"/>
              <w:jc w:val="center"/>
              <w:rPr>
                <w:rFonts w:ascii="宋体" w:hAnsi="宋体" w:cs="宋体"/>
                <w:sz w:val="24"/>
                <w:szCs w:val="24"/>
              </w:rPr>
            </w:pPr>
            <w:r>
              <w:rPr>
                <w:rFonts w:hint="eastAsia" w:ascii="宋体" w:hAnsi="宋体" w:cs="宋体"/>
                <w:sz w:val="24"/>
                <w:szCs w:val="24"/>
              </w:rPr>
              <w:t>10</w:t>
            </w:r>
          </w:p>
        </w:tc>
        <w:tc>
          <w:tcPr>
            <w:tcW w:w="2778" w:type="dxa"/>
            <w:shd w:val="clear" w:color="auto" w:fill="C5E0B3" w:themeFill="accent6" w:themeFillTint="66"/>
            <w:vAlign w:val="center"/>
          </w:tcPr>
          <w:p>
            <w:pPr>
              <w:spacing w:line="360" w:lineRule="auto"/>
              <w:rPr>
                <w:rFonts w:ascii="宋体" w:hAnsi="宋体" w:cs="宋体"/>
                <w:sz w:val="24"/>
                <w:szCs w:val="24"/>
              </w:rPr>
            </w:pPr>
            <w:r>
              <w:rPr>
                <w:rFonts w:hint="eastAsia" w:ascii="宋体" w:hAnsi="宋体" w:cs="宋体"/>
                <w:sz w:val="24"/>
                <w:szCs w:val="24"/>
              </w:rPr>
              <w:t>物流服务与管理</w:t>
            </w:r>
          </w:p>
        </w:tc>
        <w:tc>
          <w:tcPr>
            <w:tcW w:w="3525" w:type="dxa"/>
            <w:shd w:val="clear" w:color="auto" w:fill="C5E0B3" w:themeFill="accent6" w:themeFillTint="66"/>
            <w:vAlign w:val="center"/>
          </w:tcPr>
          <w:p>
            <w:pPr>
              <w:spacing w:line="360" w:lineRule="auto"/>
              <w:rPr>
                <w:rFonts w:ascii="宋体" w:hAnsi="宋体" w:cs="宋体"/>
                <w:sz w:val="24"/>
                <w:szCs w:val="24"/>
              </w:rPr>
            </w:pPr>
            <w:r>
              <w:rPr>
                <w:rFonts w:hint="eastAsia" w:ascii="宋体" w:hAnsi="宋体" w:cs="宋体"/>
                <w:sz w:val="24"/>
                <w:szCs w:val="24"/>
              </w:rPr>
              <w:t>郑州市经济贸易学校</w:t>
            </w:r>
          </w:p>
        </w:tc>
        <w:tc>
          <w:tcPr>
            <w:tcW w:w="1481" w:type="dxa"/>
            <w:vMerge w:val="restart"/>
            <w:shd w:val="clear" w:color="auto" w:fill="C5E0B3" w:themeFill="accent6" w:themeFillTint="66"/>
            <w:vAlign w:val="center"/>
          </w:tcPr>
          <w:p>
            <w:pPr>
              <w:spacing w:line="360" w:lineRule="auto"/>
              <w:jc w:val="center"/>
              <w:rPr>
                <w:rFonts w:ascii="宋体" w:hAnsi="宋体" w:cs="宋体"/>
                <w:sz w:val="24"/>
                <w:szCs w:val="24"/>
              </w:rPr>
            </w:pPr>
            <w:r>
              <w:rPr>
                <w:rFonts w:hint="eastAsia" w:ascii="宋体" w:hAnsi="宋体" w:cs="宋体"/>
                <w:sz w:val="24"/>
                <w:szCs w:val="24"/>
              </w:rPr>
              <w:t>第二批</w:t>
            </w:r>
          </w:p>
          <w:p>
            <w:pPr>
              <w:spacing w:line="360" w:lineRule="auto"/>
              <w:jc w:val="center"/>
              <w:rPr>
                <w:rFonts w:ascii="宋体" w:hAnsi="宋体" w:cs="宋体"/>
                <w:sz w:val="24"/>
                <w:szCs w:val="24"/>
              </w:rPr>
            </w:pPr>
            <w:r>
              <w:rPr>
                <w:rFonts w:hint="eastAsia" w:ascii="宋体" w:hAnsi="宋体" w:cs="宋体"/>
                <w:sz w:val="24"/>
                <w:szCs w:val="24"/>
              </w:rPr>
              <w:t>12个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2" w:type="dxa"/>
            <w:shd w:val="clear" w:color="auto" w:fill="D9E2F3" w:themeFill="accent5" w:themeFillTint="33"/>
            <w:vAlign w:val="center"/>
          </w:tcPr>
          <w:p>
            <w:pPr>
              <w:spacing w:line="360" w:lineRule="auto"/>
              <w:jc w:val="center"/>
              <w:rPr>
                <w:rFonts w:ascii="宋体" w:hAnsi="宋体" w:cs="宋体"/>
                <w:sz w:val="24"/>
                <w:szCs w:val="24"/>
              </w:rPr>
            </w:pPr>
            <w:r>
              <w:rPr>
                <w:rFonts w:hint="eastAsia" w:ascii="宋体" w:hAnsi="宋体" w:cs="宋体"/>
                <w:sz w:val="24"/>
                <w:szCs w:val="24"/>
              </w:rPr>
              <w:t>11</w:t>
            </w:r>
          </w:p>
        </w:tc>
        <w:tc>
          <w:tcPr>
            <w:tcW w:w="2778" w:type="dxa"/>
            <w:shd w:val="clear" w:color="auto" w:fill="C5E0B3" w:themeFill="accent6" w:themeFillTint="66"/>
            <w:vAlign w:val="center"/>
          </w:tcPr>
          <w:p>
            <w:pPr>
              <w:spacing w:line="360" w:lineRule="auto"/>
              <w:rPr>
                <w:rFonts w:ascii="宋体" w:hAnsi="宋体" w:cs="宋体"/>
                <w:sz w:val="24"/>
                <w:szCs w:val="24"/>
              </w:rPr>
            </w:pPr>
            <w:r>
              <w:rPr>
                <w:rFonts w:hint="eastAsia" w:ascii="宋体" w:hAnsi="宋体" w:cs="宋体"/>
                <w:sz w:val="24"/>
                <w:szCs w:val="24"/>
              </w:rPr>
              <w:t>计算机网络技术</w:t>
            </w:r>
          </w:p>
        </w:tc>
        <w:tc>
          <w:tcPr>
            <w:tcW w:w="3525" w:type="dxa"/>
            <w:shd w:val="clear" w:color="auto" w:fill="C5E0B3" w:themeFill="accent6" w:themeFillTint="66"/>
            <w:vAlign w:val="center"/>
          </w:tcPr>
          <w:p>
            <w:pPr>
              <w:spacing w:line="360" w:lineRule="auto"/>
              <w:rPr>
                <w:rFonts w:ascii="宋体" w:hAnsi="宋体" w:cs="宋体"/>
                <w:sz w:val="24"/>
                <w:szCs w:val="24"/>
              </w:rPr>
            </w:pPr>
            <w:r>
              <w:rPr>
                <w:rFonts w:hint="eastAsia" w:ascii="宋体" w:hAnsi="宋体" w:cs="宋体"/>
                <w:sz w:val="24"/>
                <w:szCs w:val="24"/>
              </w:rPr>
              <w:t>郑州市电子信息工程学校</w:t>
            </w:r>
          </w:p>
        </w:tc>
        <w:tc>
          <w:tcPr>
            <w:tcW w:w="1481" w:type="dxa"/>
            <w:vMerge w:val="continue"/>
            <w:shd w:val="clear" w:color="auto" w:fill="C5E0B3" w:themeFill="accent6" w:themeFillTint="66"/>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2" w:type="dxa"/>
            <w:shd w:val="clear" w:color="auto" w:fill="D9E2F3" w:themeFill="accent5" w:themeFillTint="33"/>
            <w:vAlign w:val="center"/>
          </w:tcPr>
          <w:p>
            <w:pPr>
              <w:spacing w:line="360" w:lineRule="auto"/>
              <w:jc w:val="center"/>
              <w:rPr>
                <w:rFonts w:ascii="宋体" w:hAnsi="宋体" w:cs="宋体"/>
                <w:sz w:val="24"/>
                <w:szCs w:val="24"/>
              </w:rPr>
            </w:pPr>
            <w:r>
              <w:rPr>
                <w:rFonts w:hint="eastAsia" w:ascii="宋体" w:hAnsi="宋体" w:cs="宋体"/>
                <w:sz w:val="24"/>
                <w:szCs w:val="24"/>
              </w:rPr>
              <w:t>12</w:t>
            </w:r>
          </w:p>
        </w:tc>
        <w:tc>
          <w:tcPr>
            <w:tcW w:w="2778" w:type="dxa"/>
            <w:shd w:val="clear" w:color="auto" w:fill="C5E0B3" w:themeFill="accent6" w:themeFillTint="66"/>
            <w:vAlign w:val="center"/>
          </w:tcPr>
          <w:p>
            <w:pPr>
              <w:spacing w:line="360" w:lineRule="auto"/>
              <w:rPr>
                <w:rFonts w:ascii="宋体" w:hAnsi="宋体" w:cs="宋体"/>
                <w:sz w:val="24"/>
                <w:szCs w:val="24"/>
              </w:rPr>
            </w:pPr>
            <w:r>
              <w:rPr>
                <w:rFonts w:hint="eastAsia" w:ascii="宋体" w:hAnsi="宋体" w:cs="宋体"/>
                <w:sz w:val="24"/>
                <w:szCs w:val="24"/>
              </w:rPr>
              <w:t>机电技术应用</w:t>
            </w:r>
          </w:p>
        </w:tc>
        <w:tc>
          <w:tcPr>
            <w:tcW w:w="3525" w:type="dxa"/>
            <w:shd w:val="clear" w:color="auto" w:fill="C5E0B3" w:themeFill="accent6" w:themeFillTint="66"/>
            <w:vAlign w:val="center"/>
          </w:tcPr>
          <w:p>
            <w:pPr>
              <w:spacing w:line="360" w:lineRule="auto"/>
              <w:rPr>
                <w:rFonts w:ascii="宋体" w:hAnsi="宋体" w:cs="宋体"/>
                <w:sz w:val="24"/>
                <w:szCs w:val="24"/>
              </w:rPr>
            </w:pPr>
            <w:r>
              <w:rPr>
                <w:rFonts w:hint="eastAsia" w:ascii="宋体" w:hAnsi="宋体" w:cs="宋体"/>
                <w:sz w:val="24"/>
                <w:szCs w:val="24"/>
              </w:rPr>
              <w:t>郑州市国防科技学校</w:t>
            </w:r>
          </w:p>
        </w:tc>
        <w:tc>
          <w:tcPr>
            <w:tcW w:w="1481" w:type="dxa"/>
            <w:vMerge w:val="continue"/>
            <w:shd w:val="clear" w:color="auto" w:fill="C5E0B3" w:themeFill="accent6" w:themeFillTint="66"/>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2" w:type="dxa"/>
            <w:shd w:val="clear" w:color="auto" w:fill="D9E2F3" w:themeFill="accent5" w:themeFillTint="33"/>
            <w:vAlign w:val="center"/>
          </w:tcPr>
          <w:p>
            <w:pPr>
              <w:spacing w:line="360" w:lineRule="auto"/>
              <w:jc w:val="center"/>
              <w:rPr>
                <w:rFonts w:ascii="宋体" w:hAnsi="宋体" w:cs="宋体"/>
                <w:sz w:val="24"/>
                <w:szCs w:val="24"/>
              </w:rPr>
            </w:pPr>
            <w:r>
              <w:rPr>
                <w:rFonts w:hint="eastAsia" w:ascii="宋体" w:hAnsi="宋体" w:cs="宋体"/>
                <w:sz w:val="24"/>
                <w:szCs w:val="24"/>
              </w:rPr>
              <w:t>13</w:t>
            </w:r>
          </w:p>
        </w:tc>
        <w:tc>
          <w:tcPr>
            <w:tcW w:w="2778" w:type="dxa"/>
            <w:shd w:val="clear" w:color="auto" w:fill="C5E0B3" w:themeFill="accent6" w:themeFillTint="66"/>
            <w:vAlign w:val="center"/>
          </w:tcPr>
          <w:p>
            <w:pPr>
              <w:spacing w:line="360" w:lineRule="auto"/>
              <w:rPr>
                <w:rFonts w:ascii="宋体" w:hAnsi="宋体" w:cs="宋体"/>
                <w:sz w:val="24"/>
                <w:szCs w:val="24"/>
              </w:rPr>
            </w:pPr>
            <w:r>
              <w:rPr>
                <w:rFonts w:hint="eastAsia" w:ascii="宋体" w:hAnsi="宋体" w:cs="宋体"/>
                <w:sz w:val="24"/>
                <w:szCs w:val="24"/>
              </w:rPr>
              <w:t>机械制造技术</w:t>
            </w:r>
          </w:p>
        </w:tc>
        <w:tc>
          <w:tcPr>
            <w:tcW w:w="3525" w:type="dxa"/>
            <w:shd w:val="clear" w:color="auto" w:fill="C5E0B3" w:themeFill="accent6" w:themeFillTint="66"/>
            <w:vAlign w:val="center"/>
          </w:tcPr>
          <w:p>
            <w:pPr>
              <w:spacing w:line="360" w:lineRule="auto"/>
              <w:rPr>
                <w:rFonts w:ascii="宋体" w:hAnsi="宋体" w:cs="宋体"/>
                <w:sz w:val="24"/>
                <w:szCs w:val="24"/>
              </w:rPr>
            </w:pPr>
            <w:r>
              <w:rPr>
                <w:rFonts w:hint="eastAsia" w:ascii="宋体" w:hAnsi="宋体" w:cs="宋体"/>
                <w:sz w:val="24"/>
                <w:szCs w:val="24"/>
              </w:rPr>
              <w:t>郑州市科技工业学校</w:t>
            </w:r>
          </w:p>
        </w:tc>
        <w:tc>
          <w:tcPr>
            <w:tcW w:w="1481" w:type="dxa"/>
            <w:vMerge w:val="continue"/>
            <w:shd w:val="clear" w:color="auto" w:fill="C5E0B3" w:themeFill="accent6" w:themeFillTint="66"/>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2" w:type="dxa"/>
            <w:shd w:val="clear" w:color="auto" w:fill="D9E2F3" w:themeFill="accent5" w:themeFillTint="33"/>
            <w:vAlign w:val="center"/>
          </w:tcPr>
          <w:p>
            <w:pPr>
              <w:spacing w:line="360" w:lineRule="auto"/>
              <w:jc w:val="center"/>
              <w:rPr>
                <w:rFonts w:ascii="宋体" w:hAnsi="宋体" w:cs="宋体"/>
                <w:sz w:val="24"/>
                <w:szCs w:val="24"/>
              </w:rPr>
            </w:pPr>
            <w:r>
              <w:rPr>
                <w:rFonts w:hint="eastAsia" w:ascii="宋体" w:hAnsi="宋体" w:cs="宋体"/>
                <w:sz w:val="24"/>
                <w:szCs w:val="24"/>
              </w:rPr>
              <w:t>14</w:t>
            </w:r>
          </w:p>
        </w:tc>
        <w:tc>
          <w:tcPr>
            <w:tcW w:w="2778" w:type="dxa"/>
            <w:shd w:val="clear" w:color="auto" w:fill="C5E0B3" w:themeFill="accent6" w:themeFillTint="66"/>
            <w:vAlign w:val="center"/>
          </w:tcPr>
          <w:p>
            <w:pPr>
              <w:spacing w:line="360" w:lineRule="auto"/>
              <w:rPr>
                <w:rFonts w:ascii="宋体" w:hAnsi="宋体" w:cs="宋体"/>
                <w:sz w:val="24"/>
                <w:szCs w:val="24"/>
              </w:rPr>
            </w:pPr>
            <w:r>
              <w:rPr>
                <w:rFonts w:hint="eastAsia" w:ascii="宋体" w:hAnsi="宋体" w:cs="宋体"/>
                <w:sz w:val="24"/>
                <w:szCs w:val="24"/>
              </w:rPr>
              <w:t>工艺美术</w:t>
            </w:r>
          </w:p>
        </w:tc>
        <w:tc>
          <w:tcPr>
            <w:tcW w:w="3525" w:type="dxa"/>
            <w:shd w:val="clear" w:color="auto" w:fill="C5E0B3" w:themeFill="accent6" w:themeFillTint="66"/>
            <w:vAlign w:val="center"/>
          </w:tcPr>
          <w:p>
            <w:pPr>
              <w:spacing w:line="360" w:lineRule="auto"/>
              <w:rPr>
                <w:rFonts w:ascii="宋体" w:hAnsi="宋体" w:cs="宋体"/>
                <w:sz w:val="24"/>
                <w:szCs w:val="24"/>
              </w:rPr>
            </w:pPr>
            <w:r>
              <w:rPr>
                <w:rFonts w:hint="eastAsia" w:ascii="宋体" w:hAnsi="宋体" w:cs="宋体"/>
                <w:sz w:val="24"/>
                <w:szCs w:val="24"/>
              </w:rPr>
              <w:t>郑州市商贸管理学校</w:t>
            </w:r>
          </w:p>
        </w:tc>
        <w:tc>
          <w:tcPr>
            <w:tcW w:w="1481" w:type="dxa"/>
            <w:vMerge w:val="continue"/>
            <w:shd w:val="clear" w:color="auto" w:fill="C5E0B3" w:themeFill="accent6" w:themeFillTint="66"/>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2" w:type="dxa"/>
            <w:shd w:val="clear" w:color="auto" w:fill="D9E2F3" w:themeFill="accent5" w:themeFillTint="33"/>
            <w:vAlign w:val="center"/>
          </w:tcPr>
          <w:p>
            <w:pPr>
              <w:spacing w:line="360" w:lineRule="auto"/>
              <w:jc w:val="center"/>
              <w:rPr>
                <w:rFonts w:ascii="宋体" w:hAnsi="宋体" w:cs="宋体"/>
                <w:sz w:val="24"/>
                <w:szCs w:val="24"/>
              </w:rPr>
            </w:pPr>
            <w:r>
              <w:rPr>
                <w:rFonts w:hint="eastAsia" w:ascii="宋体" w:hAnsi="宋体" w:cs="宋体"/>
                <w:sz w:val="24"/>
                <w:szCs w:val="24"/>
              </w:rPr>
              <w:t>15</w:t>
            </w:r>
          </w:p>
        </w:tc>
        <w:tc>
          <w:tcPr>
            <w:tcW w:w="2778" w:type="dxa"/>
            <w:shd w:val="clear" w:color="auto" w:fill="C5E0B3" w:themeFill="accent6" w:themeFillTint="66"/>
            <w:vAlign w:val="center"/>
          </w:tcPr>
          <w:p>
            <w:pPr>
              <w:spacing w:line="360" w:lineRule="auto"/>
              <w:rPr>
                <w:rFonts w:ascii="宋体" w:hAnsi="宋体" w:cs="宋体"/>
                <w:sz w:val="24"/>
                <w:szCs w:val="24"/>
              </w:rPr>
            </w:pPr>
            <w:r>
              <w:rPr>
                <w:rFonts w:hint="eastAsia" w:ascii="宋体" w:hAnsi="宋体" w:cs="宋体"/>
                <w:sz w:val="24"/>
                <w:szCs w:val="24"/>
              </w:rPr>
              <w:t>康复技术</w:t>
            </w:r>
          </w:p>
        </w:tc>
        <w:tc>
          <w:tcPr>
            <w:tcW w:w="3525" w:type="dxa"/>
            <w:shd w:val="clear" w:color="auto" w:fill="C5E0B3" w:themeFill="accent6" w:themeFillTint="66"/>
            <w:vAlign w:val="center"/>
          </w:tcPr>
          <w:p>
            <w:pPr>
              <w:spacing w:line="360" w:lineRule="auto"/>
              <w:rPr>
                <w:rFonts w:ascii="宋体" w:hAnsi="宋体" w:cs="宋体"/>
                <w:sz w:val="24"/>
                <w:szCs w:val="24"/>
              </w:rPr>
            </w:pPr>
            <w:r>
              <w:rPr>
                <w:rFonts w:hint="eastAsia" w:ascii="宋体" w:hAnsi="宋体" w:cs="宋体"/>
                <w:sz w:val="24"/>
                <w:szCs w:val="24"/>
              </w:rPr>
              <w:t>郑州卫生健康职业学院中专部</w:t>
            </w:r>
          </w:p>
        </w:tc>
        <w:tc>
          <w:tcPr>
            <w:tcW w:w="1481" w:type="dxa"/>
            <w:vMerge w:val="continue"/>
            <w:shd w:val="clear" w:color="auto" w:fill="C5E0B3" w:themeFill="accent6" w:themeFillTint="66"/>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2" w:type="dxa"/>
            <w:shd w:val="clear" w:color="auto" w:fill="D9E2F3" w:themeFill="accent5" w:themeFillTint="33"/>
            <w:vAlign w:val="center"/>
          </w:tcPr>
          <w:p>
            <w:pPr>
              <w:spacing w:line="360" w:lineRule="auto"/>
              <w:jc w:val="center"/>
              <w:rPr>
                <w:rFonts w:ascii="宋体" w:hAnsi="宋体" w:cs="宋体"/>
                <w:sz w:val="24"/>
                <w:szCs w:val="24"/>
              </w:rPr>
            </w:pPr>
            <w:r>
              <w:rPr>
                <w:rFonts w:hint="eastAsia" w:ascii="宋体" w:hAnsi="宋体" w:cs="宋体"/>
                <w:sz w:val="24"/>
                <w:szCs w:val="24"/>
              </w:rPr>
              <w:t>16</w:t>
            </w:r>
          </w:p>
        </w:tc>
        <w:tc>
          <w:tcPr>
            <w:tcW w:w="2778" w:type="dxa"/>
            <w:shd w:val="clear" w:color="auto" w:fill="C5E0B3" w:themeFill="accent6" w:themeFillTint="66"/>
            <w:vAlign w:val="center"/>
          </w:tcPr>
          <w:p>
            <w:pPr>
              <w:spacing w:line="360" w:lineRule="auto"/>
              <w:rPr>
                <w:rFonts w:ascii="宋体" w:hAnsi="宋体" w:cs="宋体"/>
                <w:sz w:val="24"/>
                <w:szCs w:val="24"/>
              </w:rPr>
            </w:pPr>
            <w:r>
              <w:rPr>
                <w:rFonts w:hint="eastAsia" w:ascii="宋体" w:hAnsi="宋体" w:cs="宋体"/>
                <w:sz w:val="24"/>
                <w:szCs w:val="24"/>
              </w:rPr>
              <w:t>市场营销</w:t>
            </w:r>
          </w:p>
        </w:tc>
        <w:tc>
          <w:tcPr>
            <w:tcW w:w="3525" w:type="dxa"/>
            <w:shd w:val="clear" w:color="auto" w:fill="C5E0B3" w:themeFill="accent6" w:themeFillTint="66"/>
            <w:vAlign w:val="center"/>
          </w:tcPr>
          <w:p>
            <w:pPr>
              <w:spacing w:line="360" w:lineRule="auto"/>
              <w:rPr>
                <w:rFonts w:ascii="宋体" w:hAnsi="宋体" w:cs="宋体"/>
                <w:sz w:val="24"/>
                <w:szCs w:val="24"/>
              </w:rPr>
            </w:pPr>
            <w:r>
              <w:rPr>
                <w:rFonts w:hint="eastAsia" w:ascii="宋体" w:hAnsi="宋体" w:cs="宋体"/>
                <w:sz w:val="24"/>
                <w:szCs w:val="24"/>
              </w:rPr>
              <w:t>郑州市财经学校</w:t>
            </w:r>
          </w:p>
        </w:tc>
        <w:tc>
          <w:tcPr>
            <w:tcW w:w="1481" w:type="dxa"/>
            <w:vMerge w:val="continue"/>
            <w:shd w:val="clear" w:color="auto" w:fill="C5E0B3" w:themeFill="accent6" w:themeFillTint="66"/>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2" w:type="dxa"/>
            <w:shd w:val="clear" w:color="auto" w:fill="D9E2F3" w:themeFill="accent5" w:themeFillTint="33"/>
            <w:vAlign w:val="center"/>
          </w:tcPr>
          <w:p>
            <w:pPr>
              <w:spacing w:line="360" w:lineRule="auto"/>
              <w:jc w:val="center"/>
              <w:rPr>
                <w:rFonts w:ascii="宋体" w:hAnsi="宋体" w:cs="宋体"/>
                <w:sz w:val="24"/>
                <w:szCs w:val="24"/>
              </w:rPr>
            </w:pPr>
            <w:r>
              <w:rPr>
                <w:rFonts w:hint="eastAsia" w:ascii="宋体" w:hAnsi="宋体" w:cs="宋体"/>
                <w:sz w:val="24"/>
                <w:szCs w:val="24"/>
              </w:rPr>
              <w:t>17</w:t>
            </w:r>
          </w:p>
        </w:tc>
        <w:tc>
          <w:tcPr>
            <w:tcW w:w="2778" w:type="dxa"/>
            <w:shd w:val="clear" w:color="auto" w:fill="C5E0B3" w:themeFill="accent6" w:themeFillTint="66"/>
            <w:vAlign w:val="center"/>
          </w:tcPr>
          <w:p>
            <w:pPr>
              <w:spacing w:line="360" w:lineRule="auto"/>
              <w:rPr>
                <w:rFonts w:ascii="宋体" w:hAnsi="宋体" w:cs="宋体"/>
                <w:sz w:val="24"/>
                <w:szCs w:val="24"/>
              </w:rPr>
            </w:pPr>
            <w:r>
              <w:rPr>
                <w:rFonts w:hint="eastAsia" w:ascii="宋体" w:hAnsi="宋体" w:cs="宋体"/>
                <w:sz w:val="24"/>
                <w:szCs w:val="24"/>
              </w:rPr>
              <w:t>城市轨道交通运营管理</w:t>
            </w:r>
          </w:p>
        </w:tc>
        <w:tc>
          <w:tcPr>
            <w:tcW w:w="3525" w:type="dxa"/>
            <w:shd w:val="clear" w:color="auto" w:fill="C5E0B3" w:themeFill="accent6" w:themeFillTint="66"/>
            <w:vAlign w:val="center"/>
          </w:tcPr>
          <w:p>
            <w:pPr>
              <w:spacing w:line="360" w:lineRule="auto"/>
              <w:rPr>
                <w:rFonts w:ascii="宋体" w:hAnsi="宋体" w:cs="宋体"/>
                <w:sz w:val="24"/>
                <w:szCs w:val="24"/>
              </w:rPr>
            </w:pPr>
            <w:r>
              <w:rPr>
                <w:rFonts w:hint="eastAsia" w:ascii="宋体" w:hAnsi="宋体" w:cs="宋体"/>
                <w:sz w:val="24"/>
                <w:szCs w:val="24"/>
              </w:rPr>
              <w:t>郑州市城轨交通中等专业学校</w:t>
            </w:r>
          </w:p>
        </w:tc>
        <w:tc>
          <w:tcPr>
            <w:tcW w:w="1481" w:type="dxa"/>
            <w:vMerge w:val="continue"/>
            <w:shd w:val="clear" w:color="auto" w:fill="C5E0B3" w:themeFill="accent6" w:themeFillTint="66"/>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2" w:type="dxa"/>
            <w:shd w:val="clear" w:color="auto" w:fill="D9E2F3" w:themeFill="accent5" w:themeFillTint="33"/>
            <w:vAlign w:val="center"/>
          </w:tcPr>
          <w:p>
            <w:pPr>
              <w:spacing w:line="360" w:lineRule="auto"/>
              <w:jc w:val="center"/>
              <w:rPr>
                <w:rFonts w:ascii="宋体" w:hAnsi="宋体" w:cs="宋体"/>
                <w:sz w:val="24"/>
                <w:szCs w:val="24"/>
              </w:rPr>
            </w:pPr>
            <w:r>
              <w:rPr>
                <w:rFonts w:hint="eastAsia" w:ascii="宋体" w:hAnsi="宋体" w:cs="宋体"/>
                <w:sz w:val="24"/>
                <w:szCs w:val="24"/>
              </w:rPr>
              <w:t>18</w:t>
            </w:r>
          </w:p>
        </w:tc>
        <w:tc>
          <w:tcPr>
            <w:tcW w:w="2778" w:type="dxa"/>
            <w:shd w:val="clear" w:color="auto" w:fill="C5E0B3" w:themeFill="accent6" w:themeFillTint="66"/>
            <w:vAlign w:val="center"/>
          </w:tcPr>
          <w:p>
            <w:pPr>
              <w:spacing w:line="360" w:lineRule="auto"/>
              <w:rPr>
                <w:rFonts w:ascii="宋体" w:hAnsi="宋体" w:cs="宋体"/>
                <w:sz w:val="24"/>
                <w:szCs w:val="24"/>
              </w:rPr>
            </w:pPr>
            <w:r>
              <w:rPr>
                <w:rFonts w:hint="eastAsia" w:ascii="宋体" w:hAnsi="宋体" w:cs="宋体"/>
                <w:sz w:val="24"/>
                <w:szCs w:val="24"/>
              </w:rPr>
              <w:t>运动训练</w:t>
            </w:r>
          </w:p>
        </w:tc>
        <w:tc>
          <w:tcPr>
            <w:tcW w:w="3525" w:type="dxa"/>
            <w:shd w:val="clear" w:color="auto" w:fill="C5E0B3" w:themeFill="accent6" w:themeFillTint="66"/>
            <w:vAlign w:val="center"/>
          </w:tcPr>
          <w:p>
            <w:pPr>
              <w:spacing w:line="360" w:lineRule="auto"/>
              <w:rPr>
                <w:rFonts w:ascii="宋体" w:hAnsi="宋体" w:cs="宋体"/>
                <w:sz w:val="24"/>
                <w:szCs w:val="24"/>
              </w:rPr>
            </w:pPr>
            <w:r>
              <w:rPr>
                <w:rFonts w:hint="eastAsia" w:ascii="宋体" w:hAnsi="宋体" w:cs="宋体"/>
                <w:sz w:val="24"/>
                <w:szCs w:val="24"/>
              </w:rPr>
              <w:t>登封少林中等专业学校</w:t>
            </w:r>
          </w:p>
        </w:tc>
        <w:tc>
          <w:tcPr>
            <w:tcW w:w="1481" w:type="dxa"/>
            <w:vMerge w:val="continue"/>
            <w:shd w:val="clear" w:color="auto" w:fill="C5E0B3" w:themeFill="accent6" w:themeFillTint="66"/>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2" w:type="dxa"/>
            <w:shd w:val="clear" w:color="auto" w:fill="D9E2F3" w:themeFill="accent5" w:themeFillTint="33"/>
            <w:vAlign w:val="center"/>
          </w:tcPr>
          <w:p>
            <w:pPr>
              <w:spacing w:line="360" w:lineRule="auto"/>
              <w:jc w:val="center"/>
              <w:rPr>
                <w:rFonts w:ascii="宋体" w:hAnsi="宋体" w:cs="宋体"/>
                <w:sz w:val="24"/>
                <w:szCs w:val="24"/>
              </w:rPr>
            </w:pPr>
            <w:r>
              <w:rPr>
                <w:rFonts w:hint="eastAsia" w:ascii="宋体" w:hAnsi="宋体" w:cs="宋体"/>
                <w:sz w:val="24"/>
                <w:szCs w:val="24"/>
              </w:rPr>
              <w:t>19</w:t>
            </w:r>
          </w:p>
        </w:tc>
        <w:tc>
          <w:tcPr>
            <w:tcW w:w="2778" w:type="dxa"/>
            <w:shd w:val="clear" w:color="auto" w:fill="C5E0B3" w:themeFill="accent6" w:themeFillTint="66"/>
            <w:vAlign w:val="center"/>
          </w:tcPr>
          <w:p>
            <w:pPr>
              <w:spacing w:line="360" w:lineRule="auto"/>
              <w:rPr>
                <w:rFonts w:ascii="宋体" w:hAnsi="宋体" w:cs="宋体"/>
                <w:sz w:val="24"/>
                <w:szCs w:val="24"/>
              </w:rPr>
            </w:pPr>
            <w:r>
              <w:rPr>
                <w:rFonts w:hint="eastAsia" w:ascii="宋体" w:hAnsi="宋体" w:cs="宋体"/>
                <w:sz w:val="24"/>
                <w:szCs w:val="24"/>
              </w:rPr>
              <w:t>中餐烹饪与营养膳食</w:t>
            </w:r>
          </w:p>
        </w:tc>
        <w:tc>
          <w:tcPr>
            <w:tcW w:w="3525" w:type="dxa"/>
            <w:shd w:val="clear" w:color="auto" w:fill="C5E0B3" w:themeFill="accent6" w:themeFillTint="66"/>
            <w:vAlign w:val="center"/>
          </w:tcPr>
          <w:p>
            <w:pPr>
              <w:spacing w:line="360" w:lineRule="auto"/>
              <w:rPr>
                <w:rFonts w:ascii="宋体" w:hAnsi="宋体" w:cs="宋体"/>
                <w:sz w:val="24"/>
                <w:szCs w:val="24"/>
              </w:rPr>
            </w:pPr>
            <w:r>
              <w:rPr>
                <w:rFonts w:hint="eastAsia" w:ascii="宋体" w:hAnsi="宋体" w:cs="宋体"/>
                <w:sz w:val="24"/>
                <w:szCs w:val="24"/>
              </w:rPr>
              <w:t>登封市中等专业学校</w:t>
            </w:r>
          </w:p>
        </w:tc>
        <w:tc>
          <w:tcPr>
            <w:tcW w:w="1481" w:type="dxa"/>
            <w:vMerge w:val="continue"/>
            <w:shd w:val="clear" w:color="auto" w:fill="C5E0B3" w:themeFill="accent6" w:themeFillTint="66"/>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2" w:type="dxa"/>
            <w:shd w:val="clear" w:color="auto" w:fill="D9E2F3" w:themeFill="accent5" w:themeFillTint="33"/>
            <w:vAlign w:val="center"/>
          </w:tcPr>
          <w:p>
            <w:pPr>
              <w:spacing w:line="360" w:lineRule="auto"/>
              <w:jc w:val="center"/>
              <w:rPr>
                <w:rFonts w:ascii="宋体" w:hAnsi="宋体" w:cs="宋体"/>
                <w:sz w:val="24"/>
                <w:szCs w:val="24"/>
              </w:rPr>
            </w:pPr>
            <w:r>
              <w:rPr>
                <w:rFonts w:hint="eastAsia" w:ascii="宋体" w:hAnsi="宋体" w:cs="宋体"/>
                <w:sz w:val="24"/>
                <w:szCs w:val="24"/>
              </w:rPr>
              <w:t>20</w:t>
            </w:r>
          </w:p>
        </w:tc>
        <w:tc>
          <w:tcPr>
            <w:tcW w:w="2778" w:type="dxa"/>
            <w:shd w:val="clear" w:color="auto" w:fill="C5E0B3" w:themeFill="accent6" w:themeFillTint="66"/>
            <w:vAlign w:val="center"/>
          </w:tcPr>
          <w:p>
            <w:pPr>
              <w:spacing w:line="360" w:lineRule="auto"/>
              <w:rPr>
                <w:rFonts w:ascii="宋体" w:hAnsi="宋体" w:cs="宋体"/>
                <w:sz w:val="24"/>
                <w:szCs w:val="24"/>
              </w:rPr>
            </w:pPr>
            <w:r>
              <w:rPr>
                <w:rFonts w:hint="eastAsia" w:ascii="宋体" w:hAnsi="宋体" w:cs="宋体"/>
                <w:sz w:val="24"/>
                <w:szCs w:val="24"/>
              </w:rPr>
              <w:t>现代农艺技术</w:t>
            </w:r>
          </w:p>
        </w:tc>
        <w:tc>
          <w:tcPr>
            <w:tcW w:w="3525" w:type="dxa"/>
            <w:shd w:val="clear" w:color="auto" w:fill="C5E0B3" w:themeFill="accent6" w:themeFillTint="66"/>
            <w:vAlign w:val="center"/>
          </w:tcPr>
          <w:p>
            <w:pPr>
              <w:spacing w:line="360" w:lineRule="auto"/>
              <w:rPr>
                <w:rFonts w:ascii="宋体" w:hAnsi="宋体" w:cs="宋体"/>
                <w:sz w:val="24"/>
                <w:szCs w:val="24"/>
              </w:rPr>
            </w:pPr>
            <w:r>
              <w:rPr>
                <w:rFonts w:hint="eastAsia" w:ascii="宋体" w:hAnsi="宋体" w:cs="宋体"/>
                <w:sz w:val="24"/>
                <w:szCs w:val="24"/>
              </w:rPr>
              <w:t>新郑市中等专业学校</w:t>
            </w:r>
          </w:p>
        </w:tc>
        <w:tc>
          <w:tcPr>
            <w:tcW w:w="1481" w:type="dxa"/>
            <w:vMerge w:val="continue"/>
            <w:shd w:val="clear" w:color="auto" w:fill="C5E0B3" w:themeFill="accent6" w:themeFillTint="66"/>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2" w:type="dxa"/>
            <w:shd w:val="clear" w:color="auto" w:fill="D9E2F3" w:themeFill="accent5" w:themeFillTint="33"/>
            <w:vAlign w:val="center"/>
          </w:tcPr>
          <w:p>
            <w:pPr>
              <w:spacing w:line="360" w:lineRule="auto"/>
              <w:jc w:val="center"/>
              <w:rPr>
                <w:rFonts w:ascii="宋体" w:hAnsi="宋体" w:cs="宋体"/>
                <w:sz w:val="24"/>
                <w:szCs w:val="24"/>
              </w:rPr>
            </w:pPr>
            <w:r>
              <w:rPr>
                <w:rFonts w:hint="eastAsia" w:ascii="宋体" w:hAnsi="宋体" w:cs="宋体"/>
                <w:sz w:val="24"/>
                <w:szCs w:val="24"/>
              </w:rPr>
              <w:t>21</w:t>
            </w:r>
          </w:p>
        </w:tc>
        <w:tc>
          <w:tcPr>
            <w:tcW w:w="2778" w:type="dxa"/>
            <w:shd w:val="clear" w:color="auto" w:fill="C5E0B3" w:themeFill="accent6" w:themeFillTint="66"/>
            <w:vAlign w:val="center"/>
          </w:tcPr>
          <w:p>
            <w:pPr>
              <w:spacing w:line="360" w:lineRule="auto"/>
              <w:rPr>
                <w:rFonts w:ascii="宋体" w:hAnsi="宋体" w:cs="宋体"/>
                <w:sz w:val="24"/>
                <w:szCs w:val="24"/>
              </w:rPr>
            </w:pPr>
            <w:r>
              <w:rPr>
                <w:rFonts w:hint="eastAsia" w:ascii="宋体" w:hAnsi="宋体" w:cs="宋体"/>
                <w:sz w:val="24"/>
                <w:szCs w:val="24"/>
              </w:rPr>
              <w:t>珠宝玉石加工与营销</w:t>
            </w:r>
          </w:p>
        </w:tc>
        <w:tc>
          <w:tcPr>
            <w:tcW w:w="3525" w:type="dxa"/>
            <w:shd w:val="clear" w:color="auto" w:fill="C5E0B3" w:themeFill="accent6" w:themeFillTint="66"/>
            <w:vAlign w:val="center"/>
          </w:tcPr>
          <w:p>
            <w:pPr>
              <w:spacing w:line="360" w:lineRule="auto"/>
              <w:rPr>
                <w:rFonts w:ascii="宋体" w:hAnsi="宋体" w:cs="宋体"/>
                <w:sz w:val="24"/>
                <w:szCs w:val="24"/>
              </w:rPr>
            </w:pPr>
            <w:r>
              <w:rPr>
                <w:rFonts w:hint="eastAsia" w:ascii="宋体" w:hAnsi="宋体" w:cs="宋体"/>
                <w:sz w:val="24"/>
                <w:szCs w:val="24"/>
              </w:rPr>
              <w:t>新密市职教中心</w:t>
            </w:r>
          </w:p>
        </w:tc>
        <w:tc>
          <w:tcPr>
            <w:tcW w:w="1481" w:type="dxa"/>
            <w:vMerge w:val="continue"/>
            <w:shd w:val="clear" w:color="auto" w:fill="C5E0B3" w:themeFill="accent6" w:themeFillTint="66"/>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2" w:type="dxa"/>
            <w:shd w:val="clear" w:color="auto" w:fill="D9E2F3" w:themeFill="accent5" w:themeFillTint="33"/>
            <w:vAlign w:val="center"/>
          </w:tcPr>
          <w:p>
            <w:pPr>
              <w:spacing w:line="360" w:lineRule="auto"/>
              <w:jc w:val="center"/>
              <w:rPr>
                <w:rFonts w:ascii="宋体" w:hAnsi="宋体" w:cs="宋体"/>
                <w:sz w:val="24"/>
                <w:szCs w:val="24"/>
              </w:rPr>
            </w:pPr>
            <w:r>
              <w:rPr>
                <w:rFonts w:hint="eastAsia" w:ascii="宋体" w:hAnsi="宋体" w:cs="宋体"/>
                <w:sz w:val="24"/>
                <w:szCs w:val="24"/>
              </w:rPr>
              <w:t>22</w:t>
            </w:r>
          </w:p>
        </w:tc>
        <w:tc>
          <w:tcPr>
            <w:tcW w:w="2778" w:type="dxa"/>
            <w:shd w:val="clear" w:color="auto" w:fill="C5E0B3" w:themeFill="accent6" w:themeFillTint="66"/>
            <w:vAlign w:val="center"/>
          </w:tcPr>
          <w:p>
            <w:pPr>
              <w:spacing w:line="360" w:lineRule="auto"/>
              <w:rPr>
                <w:rFonts w:ascii="宋体" w:hAnsi="宋体" w:cs="宋体"/>
                <w:sz w:val="24"/>
                <w:szCs w:val="24"/>
              </w:rPr>
            </w:pPr>
            <w:r>
              <w:rPr>
                <w:rFonts w:hint="eastAsia" w:ascii="宋体" w:hAnsi="宋体" w:cs="宋体"/>
                <w:sz w:val="24"/>
                <w:szCs w:val="24"/>
              </w:rPr>
              <w:t>美术设计与制作</w:t>
            </w:r>
          </w:p>
        </w:tc>
        <w:tc>
          <w:tcPr>
            <w:tcW w:w="3525" w:type="dxa"/>
            <w:shd w:val="clear" w:color="auto" w:fill="C5E0B3" w:themeFill="accent6" w:themeFillTint="66"/>
            <w:vAlign w:val="center"/>
          </w:tcPr>
          <w:p>
            <w:pPr>
              <w:spacing w:line="360" w:lineRule="auto"/>
              <w:rPr>
                <w:rFonts w:ascii="宋体" w:hAnsi="宋体" w:cs="宋体"/>
                <w:sz w:val="24"/>
                <w:szCs w:val="24"/>
              </w:rPr>
            </w:pPr>
            <w:r>
              <w:rPr>
                <w:rFonts w:hint="eastAsia" w:ascii="宋体" w:hAnsi="宋体" w:cs="宋体"/>
                <w:sz w:val="24"/>
                <w:szCs w:val="24"/>
              </w:rPr>
              <w:t>郑州艺术幼儿师范学校</w:t>
            </w:r>
          </w:p>
        </w:tc>
        <w:tc>
          <w:tcPr>
            <w:tcW w:w="1481" w:type="dxa"/>
            <w:vMerge w:val="restart"/>
            <w:shd w:val="clear" w:color="auto" w:fill="C5E0B3" w:themeFill="accent6" w:themeFillTint="66"/>
            <w:vAlign w:val="center"/>
          </w:tcPr>
          <w:p>
            <w:pPr>
              <w:spacing w:line="360" w:lineRule="auto"/>
              <w:jc w:val="center"/>
              <w:rPr>
                <w:rFonts w:ascii="宋体" w:hAnsi="宋体" w:cs="宋体"/>
                <w:sz w:val="24"/>
                <w:szCs w:val="24"/>
              </w:rPr>
            </w:pPr>
            <w:r>
              <w:rPr>
                <w:rFonts w:hint="eastAsia" w:ascii="宋体" w:hAnsi="宋体" w:cs="宋体"/>
                <w:sz w:val="24"/>
                <w:szCs w:val="24"/>
              </w:rPr>
              <w:t>第三批</w:t>
            </w:r>
          </w:p>
          <w:p>
            <w:pPr>
              <w:spacing w:line="360" w:lineRule="auto"/>
              <w:jc w:val="center"/>
              <w:rPr>
                <w:rFonts w:ascii="宋体" w:hAnsi="宋体" w:cs="宋体"/>
                <w:sz w:val="24"/>
                <w:szCs w:val="24"/>
              </w:rPr>
            </w:pPr>
            <w:r>
              <w:rPr>
                <w:rFonts w:hint="eastAsia" w:ascii="宋体" w:hAnsi="宋体" w:cs="宋体"/>
                <w:sz w:val="24"/>
                <w:szCs w:val="24"/>
              </w:rPr>
              <w:t>9个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2" w:type="dxa"/>
            <w:shd w:val="clear" w:color="auto" w:fill="D9E2F3" w:themeFill="accent5" w:themeFillTint="33"/>
            <w:vAlign w:val="center"/>
          </w:tcPr>
          <w:p>
            <w:pPr>
              <w:spacing w:line="360" w:lineRule="auto"/>
              <w:jc w:val="center"/>
              <w:rPr>
                <w:rFonts w:ascii="宋体" w:hAnsi="宋体" w:cs="宋体"/>
                <w:sz w:val="24"/>
                <w:szCs w:val="24"/>
              </w:rPr>
            </w:pPr>
            <w:r>
              <w:rPr>
                <w:rFonts w:hint="eastAsia" w:ascii="宋体" w:hAnsi="宋体" w:cs="宋体"/>
                <w:sz w:val="24"/>
                <w:szCs w:val="24"/>
              </w:rPr>
              <w:t>23</w:t>
            </w:r>
          </w:p>
        </w:tc>
        <w:tc>
          <w:tcPr>
            <w:tcW w:w="2778" w:type="dxa"/>
            <w:shd w:val="clear" w:color="auto" w:fill="C5E0B3" w:themeFill="accent6" w:themeFillTint="66"/>
            <w:vAlign w:val="center"/>
          </w:tcPr>
          <w:p>
            <w:pPr>
              <w:spacing w:line="360" w:lineRule="auto"/>
              <w:rPr>
                <w:rFonts w:ascii="宋体" w:hAnsi="宋体" w:cs="宋体"/>
                <w:sz w:val="24"/>
                <w:szCs w:val="24"/>
              </w:rPr>
            </w:pPr>
            <w:r>
              <w:rPr>
                <w:rFonts w:hint="eastAsia" w:ascii="宋体" w:hAnsi="宋体" w:cs="宋体"/>
                <w:sz w:val="24"/>
                <w:szCs w:val="24"/>
              </w:rPr>
              <w:t>计算机动漫与游戏制作</w:t>
            </w:r>
          </w:p>
        </w:tc>
        <w:tc>
          <w:tcPr>
            <w:tcW w:w="3525" w:type="dxa"/>
            <w:shd w:val="clear" w:color="auto" w:fill="C5E0B3" w:themeFill="accent6" w:themeFillTint="66"/>
            <w:vAlign w:val="center"/>
          </w:tcPr>
          <w:p>
            <w:pPr>
              <w:spacing w:line="360" w:lineRule="auto"/>
              <w:rPr>
                <w:rFonts w:ascii="宋体" w:hAnsi="宋体" w:cs="宋体"/>
                <w:sz w:val="24"/>
                <w:szCs w:val="24"/>
              </w:rPr>
            </w:pPr>
            <w:r>
              <w:rPr>
                <w:rFonts w:hint="eastAsia" w:ascii="宋体" w:hAnsi="宋体" w:cs="宋体"/>
                <w:sz w:val="24"/>
                <w:szCs w:val="24"/>
              </w:rPr>
              <w:t>郑州市经济贸易学校</w:t>
            </w:r>
          </w:p>
        </w:tc>
        <w:tc>
          <w:tcPr>
            <w:tcW w:w="1481" w:type="dxa"/>
            <w:vMerge w:val="continue"/>
            <w:shd w:val="clear" w:color="auto" w:fill="C5E0B3" w:themeFill="accent6" w:themeFillTint="66"/>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2" w:type="dxa"/>
            <w:shd w:val="clear" w:color="auto" w:fill="D9E2F3" w:themeFill="accent5" w:themeFillTint="33"/>
            <w:vAlign w:val="center"/>
          </w:tcPr>
          <w:p>
            <w:pPr>
              <w:spacing w:line="360" w:lineRule="auto"/>
              <w:jc w:val="center"/>
              <w:rPr>
                <w:rFonts w:ascii="宋体" w:hAnsi="宋体" w:cs="宋体"/>
                <w:sz w:val="24"/>
                <w:szCs w:val="24"/>
              </w:rPr>
            </w:pPr>
            <w:r>
              <w:rPr>
                <w:rFonts w:hint="eastAsia" w:ascii="宋体" w:hAnsi="宋体" w:cs="宋体"/>
                <w:sz w:val="24"/>
                <w:szCs w:val="24"/>
              </w:rPr>
              <w:t>24</w:t>
            </w:r>
          </w:p>
        </w:tc>
        <w:tc>
          <w:tcPr>
            <w:tcW w:w="2778" w:type="dxa"/>
            <w:shd w:val="clear" w:color="auto" w:fill="C5E0B3" w:themeFill="accent6" w:themeFillTint="66"/>
            <w:vAlign w:val="center"/>
          </w:tcPr>
          <w:p>
            <w:pPr>
              <w:spacing w:line="360" w:lineRule="auto"/>
              <w:rPr>
                <w:rFonts w:ascii="宋体" w:hAnsi="宋体" w:cs="宋体"/>
                <w:sz w:val="24"/>
                <w:szCs w:val="24"/>
              </w:rPr>
            </w:pPr>
            <w:r>
              <w:rPr>
                <w:rFonts w:hint="eastAsia" w:ascii="宋体" w:hAnsi="宋体" w:cs="宋体"/>
                <w:sz w:val="24"/>
                <w:szCs w:val="24"/>
              </w:rPr>
              <w:t>计算机应用</w:t>
            </w:r>
          </w:p>
        </w:tc>
        <w:tc>
          <w:tcPr>
            <w:tcW w:w="3525" w:type="dxa"/>
            <w:shd w:val="clear" w:color="auto" w:fill="C5E0B3" w:themeFill="accent6" w:themeFillTint="66"/>
            <w:vAlign w:val="center"/>
          </w:tcPr>
          <w:p>
            <w:pPr>
              <w:spacing w:line="360" w:lineRule="auto"/>
              <w:rPr>
                <w:rFonts w:ascii="宋体" w:hAnsi="宋体" w:cs="宋体"/>
                <w:sz w:val="24"/>
                <w:szCs w:val="24"/>
              </w:rPr>
            </w:pPr>
            <w:r>
              <w:rPr>
                <w:rFonts w:hint="eastAsia" w:ascii="宋体" w:hAnsi="宋体" w:cs="宋体"/>
                <w:sz w:val="24"/>
                <w:szCs w:val="24"/>
              </w:rPr>
              <w:t>郑州市信息技术学校</w:t>
            </w:r>
          </w:p>
        </w:tc>
        <w:tc>
          <w:tcPr>
            <w:tcW w:w="1481" w:type="dxa"/>
            <w:vMerge w:val="continue"/>
            <w:shd w:val="clear" w:color="auto" w:fill="C5E0B3" w:themeFill="accent6" w:themeFillTint="66"/>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2" w:type="dxa"/>
            <w:shd w:val="clear" w:color="auto" w:fill="D9E2F3" w:themeFill="accent5" w:themeFillTint="33"/>
            <w:vAlign w:val="center"/>
          </w:tcPr>
          <w:p>
            <w:pPr>
              <w:spacing w:line="360" w:lineRule="auto"/>
              <w:jc w:val="center"/>
              <w:rPr>
                <w:rFonts w:ascii="宋体" w:hAnsi="宋体" w:cs="宋体"/>
                <w:sz w:val="24"/>
                <w:szCs w:val="24"/>
              </w:rPr>
            </w:pPr>
            <w:r>
              <w:rPr>
                <w:rFonts w:hint="eastAsia" w:ascii="宋体" w:hAnsi="宋体" w:cs="宋体"/>
                <w:sz w:val="24"/>
                <w:szCs w:val="24"/>
              </w:rPr>
              <w:t>25</w:t>
            </w:r>
          </w:p>
        </w:tc>
        <w:tc>
          <w:tcPr>
            <w:tcW w:w="2778" w:type="dxa"/>
            <w:shd w:val="clear" w:color="auto" w:fill="C5E0B3" w:themeFill="accent6" w:themeFillTint="66"/>
            <w:vAlign w:val="center"/>
          </w:tcPr>
          <w:p>
            <w:pPr>
              <w:spacing w:line="360" w:lineRule="auto"/>
              <w:rPr>
                <w:rFonts w:ascii="宋体" w:hAnsi="宋体" w:cs="宋体"/>
                <w:sz w:val="24"/>
                <w:szCs w:val="24"/>
              </w:rPr>
            </w:pPr>
            <w:r>
              <w:rPr>
                <w:rFonts w:hint="eastAsia" w:ascii="宋体" w:hAnsi="宋体" w:cs="宋体"/>
                <w:sz w:val="24"/>
                <w:szCs w:val="24"/>
              </w:rPr>
              <w:t>数字影像技术</w:t>
            </w:r>
          </w:p>
        </w:tc>
        <w:tc>
          <w:tcPr>
            <w:tcW w:w="3525" w:type="dxa"/>
            <w:shd w:val="clear" w:color="auto" w:fill="C5E0B3" w:themeFill="accent6" w:themeFillTint="66"/>
            <w:vAlign w:val="center"/>
          </w:tcPr>
          <w:p>
            <w:pPr>
              <w:spacing w:line="360" w:lineRule="auto"/>
              <w:rPr>
                <w:rFonts w:ascii="宋体" w:hAnsi="宋体" w:cs="宋体"/>
                <w:sz w:val="24"/>
                <w:szCs w:val="24"/>
              </w:rPr>
            </w:pPr>
            <w:r>
              <w:rPr>
                <w:rFonts w:hint="eastAsia" w:ascii="宋体" w:hAnsi="宋体" w:cs="宋体"/>
                <w:sz w:val="24"/>
                <w:szCs w:val="24"/>
              </w:rPr>
              <w:t>郑州市电子信息工程学校</w:t>
            </w:r>
          </w:p>
        </w:tc>
        <w:tc>
          <w:tcPr>
            <w:tcW w:w="1481" w:type="dxa"/>
            <w:vMerge w:val="continue"/>
            <w:shd w:val="clear" w:color="auto" w:fill="C5E0B3" w:themeFill="accent6" w:themeFillTint="66"/>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2" w:type="dxa"/>
            <w:shd w:val="clear" w:color="auto" w:fill="D9E2F3" w:themeFill="accent5" w:themeFillTint="33"/>
            <w:vAlign w:val="center"/>
          </w:tcPr>
          <w:p>
            <w:pPr>
              <w:spacing w:line="360" w:lineRule="auto"/>
              <w:jc w:val="center"/>
              <w:rPr>
                <w:rFonts w:ascii="宋体" w:hAnsi="宋体" w:cs="宋体"/>
                <w:sz w:val="24"/>
                <w:szCs w:val="24"/>
              </w:rPr>
            </w:pPr>
            <w:r>
              <w:rPr>
                <w:rFonts w:hint="eastAsia" w:ascii="宋体" w:hAnsi="宋体" w:cs="宋体"/>
                <w:sz w:val="24"/>
                <w:szCs w:val="24"/>
              </w:rPr>
              <w:t>26</w:t>
            </w:r>
          </w:p>
        </w:tc>
        <w:tc>
          <w:tcPr>
            <w:tcW w:w="2778" w:type="dxa"/>
            <w:shd w:val="clear" w:color="auto" w:fill="C5E0B3" w:themeFill="accent6" w:themeFillTint="66"/>
            <w:vAlign w:val="center"/>
          </w:tcPr>
          <w:p>
            <w:pPr>
              <w:spacing w:line="360" w:lineRule="auto"/>
              <w:rPr>
                <w:rFonts w:ascii="宋体" w:hAnsi="宋体" w:cs="宋体"/>
                <w:sz w:val="24"/>
                <w:szCs w:val="24"/>
              </w:rPr>
            </w:pPr>
            <w:r>
              <w:rPr>
                <w:rFonts w:hint="eastAsia" w:ascii="宋体" w:hAnsi="宋体" w:cs="宋体"/>
                <w:sz w:val="24"/>
                <w:szCs w:val="24"/>
              </w:rPr>
              <w:t>会计电算化</w:t>
            </w:r>
          </w:p>
        </w:tc>
        <w:tc>
          <w:tcPr>
            <w:tcW w:w="3525" w:type="dxa"/>
            <w:shd w:val="clear" w:color="auto" w:fill="C5E0B3" w:themeFill="accent6" w:themeFillTint="66"/>
            <w:vAlign w:val="center"/>
          </w:tcPr>
          <w:p>
            <w:pPr>
              <w:spacing w:line="360" w:lineRule="auto"/>
              <w:rPr>
                <w:rFonts w:ascii="宋体" w:hAnsi="宋体" w:cs="宋体"/>
                <w:sz w:val="24"/>
                <w:szCs w:val="24"/>
              </w:rPr>
            </w:pPr>
            <w:r>
              <w:rPr>
                <w:rFonts w:hint="eastAsia" w:ascii="宋体" w:hAnsi="宋体" w:cs="宋体"/>
                <w:sz w:val="24"/>
                <w:szCs w:val="24"/>
              </w:rPr>
              <w:t>郑州市财贸学校</w:t>
            </w:r>
          </w:p>
        </w:tc>
        <w:tc>
          <w:tcPr>
            <w:tcW w:w="1481" w:type="dxa"/>
            <w:vMerge w:val="continue"/>
            <w:shd w:val="clear" w:color="auto" w:fill="C5E0B3" w:themeFill="accent6" w:themeFillTint="66"/>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2" w:type="dxa"/>
            <w:shd w:val="clear" w:color="auto" w:fill="D9E2F3" w:themeFill="accent5" w:themeFillTint="33"/>
            <w:vAlign w:val="center"/>
          </w:tcPr>
          <w:p>
            <w:pPr>
              <w:spacing w:line="360" w:lineRule="auto"/>
              <w:jc w:val="center"/>
              <w:rPr>
                <w:rFonts w:ascii="宋体" w:hAnsi="宋体" w:cs="宋体"/>
                <w:sz w:val="24"/>
                <w:szCs w:val="24"/>
              </w:rPr>
            </w:pPr>
            <w:r>
              <w:rPr>
                <w:rFonts w:hint="eastAsia" w:ascii="宋体" w:hAnsi="宋体" w:cs="宋体"/>
                <w:sz w:val="24"/>
                <w:szCs w:val="24"/>
              </w:rPr>
              <w:t>27</w:t>
            </w:r>
          </w:p>
        </w:tc>
        <w:tc>
          <w:tcPr>
            <w:tcW w:w="2778" w:type="dxa"/>
            <w:shd w:val="clear" w:color="auto" w:fill="C5E0B3" w:themeFill="accent6" w:themeFillTint="66"/>
            <w:vAlign w:val="center"/>
          </w:tcPr>
          <w:p>
            <w:pPr>
              <w:spacing w:line="360" w:lineRule="auto"/>
              <w:rPr>
                <w:rFonts w:ascii="宋体" w:hAnsi="宋体" w:cs="宋体"/>
                <w:sz w:val="24"/>
                <w:szCs w:val="24"/>
              </w:rPr>
            </w:pPr>
            <w:r>
              <w:rPr>
                <w:rFonts w:hint="eastAsia" w:ascii="宋体" w:hAnsi="宋体" w:cs="宋体"/>
                <w:sz w:val="24"/>
                <w:szCs w:val="24"/>
              </w:rPr>
              <w:t>计算机平面设计</w:t>
            </w:r>
          </w:p>
        </w:tc>
        <w:tc>
          <w:tcPr>
            <w:tcW w:w="3525" w:type="dxa"/>
            <w:shd w:val="clear" w:color="auto" w:fill="C5E0B3" w:themeFill="accent6" w:themeFillTint="66"/>
            <w:vAlign w:val="center"/>
          </w:tcPr>
          <w:p>
            <w:pPr>
              <w:spacing w:line="360" w:lineRule="auto"/>
              <w:rPr>
                <w:rFonts w:ascii="宋体" w:hAnsi="宋体" w:cs="宋体"/>
                <w:sz w:val="24"/>
                <w:szCs w:val="24"/>
              </w:rPr>
            </w:pPr>
            <w:r>
              <w:rPr>
                <w:rFonts w:hint="eastAsia" w:ascii="宋体" w:hAnsi="宋体" w:cs="宋体"/>
                <w:sz w:val="24"/>
                <w:szCs w:val="24"/>
              </w:rPr>
              <w:t>郑州市国防科技学校</w:t>
            </w:r>
          </w:p>
        </w:tc>
        <w:tc>
          <w:tcPr>
            <w:tcW w:w="1481" w:type="dxa"/>
            <w:vMerge w:val="continue"/>
            <w:shd w:val="clear" w:color="auto" w:fill="C5E0B3" w:themeFill="accent6" w:themeFillTint="66"/>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2" w:type="dxa"/>
            <w:shd w:val="clear" w:color="auto" w:fill="D9E2F3" w:themeFill="accent5" w:themeFillTint="33"/>
            <w:vAlign w:val="center"/>
          </w:tcPr>
          <w:p>
            <w:pPr>
              <w:spacing w:line="360" w:lineRule="auto"/>
              <w:jc w:val="center"/>
              <w:rPr>
                <w:rFonts w:ascii="宋体" w:hAnsi="宋体" w:cs="宋体"/>
                <w:sz w:val="24"/>
                <w:szCs w:val="24"/>
              </w:rPr>
            </w:pPr>
            <w:r>
              <w:rPr>
                <w:rFonts w:hint="eastAsia" w:ascii="宋体" w:hAnsi="宋体" w:cs="宋体"/>
                <w:sz w:val="24"/>
                <w:szCs w:val="24"/>
              </w:rPr>
              <w:t>28</w:t>
            </w:r>
          </w:p>
        </w:tc>
        <w:tc>
          <w:tcPr>
            <w:tcW w:w="2778" w:type="dxa"/>
            <w:shd w:val="clear" w:color="auto" w:fill="C5E0B3" w:themeFill="accent6" w:themeFillTint="66"/>
            <w:vAlign w:val="center"/>
          </w:tcPr>
          <w:p>
            <w:pPr>
              <w:spacing w:line="360" w:lineRule="auto"/>
              <w:rPr>
                <w:rFonts w:ascii="宋体" w:hAnsi="宋体" w:cs="宋体"/>
                <w:sz w:val="24"/>
                <w:szCs w:val="24"/>
              </w:rPr>
            </w:pPr>
            <w:r>
              <w:rPr>
                <w:rFonts w:hint="eastAsia" w:ascii="宋体" w:hAnsi="宋体" w:cs="宋体"/>
                <w:sz w:val="24"/>
                <w:szCs w:val="24"/>
              </w:rPr>
              <w:t>建筑工程施工</w:t>
            </w:r>
          </w:p>
        </w:tc>
        <w:tc>
          <w:tcPr>
            <w:tcW w:w="3525" w:type="dxa"/>
            <w:shd w:val="clear" w:color="auto" w:fill="C5E0B3" w:themeFill="accent6" w:themeFillTint="66"/>
            <w:vAlign w:val="center"/>
          </w:tcPr>
          <w:p>
            <w:pPr>
              <w:spacing w:line="360" w:lineRule="auto"/>
              <w:rPr>
                <w:rFonts w:ascii="宋体" w:hAnsi="宋体" w:cs="宋体"/>
                <w:sz w:val="24"/>
                <w:szCs w:val="24"/>
              </w:rPr>
            </w:pPr>
            <w:r>
              <w:rPr>
                <w:rFonts w:hint="eastAsia" w:ascii="宋体" w:hAnsi="宋体" w:cs="宋体"/>
                <w:sz w:val="24"/>
                <w:szCs w:val="24"/>
              </w:rPr>
              <w:t>中牟县职业中等职业学校</w:t>
            </w:r>
          </w:p>
        </w:tc>
        <w:tc>
          <w:tcPr>
            <w:tcW w:w="1481" w:type="dxa"/>
            <w:vMerge w:val="continue"/>
            <w:shd w:val="clear" w:color="auto" w:fill="C5E0B3" w:themeFill="accent6" w:themeFillTint="66"/>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2" w:type="dxa"/>
            <w:shd w:val="clear" w:color="auto" w:fill="D9E2F3" w:themeFill="accent5" w:themeFillTint="33"/>
            <w:vAlign w:val="center"/>
          </w:tcPr>
          <w:p>
            <w:pPr>
              <w:spacing w:line="360" w:lineRule="auto"/>
              <w:jc w:val="center"/>
              <w:rPr>
                <w:rFonts w:ascii="宋体" w:hAnsi="宋体" w:cs="宋体"/>
                <w:sz w:val="24"/>
                <w:szCs w:val="24"/>
              </w:rPr>
            </w:pPr>
            <w:r>
              <w:rPr>
                <w:rFonts w:hint="eastAsia" w:ascii="宋体" w:hAnsi="宋体" w:cs="宋体"/>
                <w:sz w:val="24"/>
                <w:szCs w:val="24"/>
              </w:rPr>
              <w:t>29</w:t>
            </w:r>
          </w:p>
        </w:tc>
        <w:tc>
          <w:tcPr>
            <w:tcW w:w="2778" w:type="dxa"/>
            <w:shd w:val="clear" w:color="auto" w:fill="C5E0B3" w:themeFill="accent6" w:themeFillTint="66"/>
            <w:vAlign w:val="center"/>
          </w:tcPr>
          <w:p>
            <w:pPr>
              <w:spacing w:line="360" w:lineRule="auto"/>
              <w:rPr>
                <w:rFonts w:ascii="宋体" w:hAnsi="宋体" w:cs="宋体"/>
                <w:sz w:val="24"/>
                <w:szCs w:val="24"/>
              </w:rPr>
            </w:pPr>
            <w:r>
              <w:rPr>
                <w:rFonts w:hint="eastAsia" w:ascii="宋体" w:hAnsi="宋体" w:cs="宋体"/>
                <w:sz w:val="24"/>
                <w:szCs w:val="24"/>
              </w:rPr>
              <w:t>护理</w:t>
            </w:r>
          </w:p>
        </w:tc>
        <w:tc>
          <w:tcPr>
            <w:tcW w:w="3525" w:type="dxa"/>
            <w:shd w:val="clear" w:color="auto" w:fill="C5E0B3" w:themeFill="accent6" w:themeFillTint="66"/>
            <w:vAlign w:val="center"/>
          </w:tcPr>
          <w:p>
            <w:pPr>
              <w:spacing w:line="360" w:lineRule="auto"/>
              <w:rPr>
                <w:rFonts w:ascii="宋体" w:hAnsi="宋体" w:cs="宋体"/>
                <w:sz w:val="24"/>
                <w:szCs w:val="24"/>
              </w:rPr>
            </w:pPr>
            <w:r>
              <w:rPr>
                <w:rFonts w:hint="eastAsia" w:ascii="宋体" w:hAnsi="宋体" w:cs="宋体"/>
                <w:sz w:val="24"/>
                <w:szCs w:val="24"/>
              </w:rPr>
              <w:t>郑州树青医学中等职业学校</w:t>
            </w:r>
          </w:p>
        </w:tc>
        <w:tc>
          <w:tcPr>
            <w:tcW w:w="1481" w:type="dxa"/>
            <w:vMerge w:val="continue"/>
            <w:shd w:val="clear" w:color="auto" w:fill="C5E0B3" w:themeFill="accent6" w:themeFillTint="66"/>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2" w:type="dxa"/>
            <w:shd w:val="clear" w:color="auto" w:fill="D9E2F3" w:themeFill="accent5" w:themeFillTint="33"/>
            <w:vAlign w:val="center"/>
          </w:tcPr>
          <w:p>
            <w:pPr>
              <w:spacing w:line="360" w:lineRule="auto"/>
              <w:jc w:val="center"/>
              <w:rPr>
                <w:rFonts w:ascii="宋体" w:hAnsi="宋体" w:cs="宋体"/>
                <w:sz w:val="24"/>
                <w:szCs w:val="24"/>
              </w:rPr>
            </w:pPr>
            <w:r>
              <w:rPr>
                <w:rFonts w:hint="eastAsia" w:ascii="宋体" w:hAnsi="宋体" w:cs="宋体"/>
                <w:sz w:val="24"/>
                <w:szCs w:val="24"/>
              </w:rPr>
              <w:t>30</w:t>
            </w:r>
          </w:p>
        </w:tc>
        <w:tc>
          <w:tcPr>
            <w:tcW w:w="2778" w:type="dxa"/>
            <w:shd w:val="clear" w:color="auto" w:fill="C5E0B3" w:themeFill="accent6" w:themeFillTint="66"/>
            <w:vAlign w:val="center"/>
          </w:tcPr>
          <w:p>
            <w:pPr>
              <w:spacing w:line="360" w:lineRule="auto"/>
              <w:rPr>
                <w:rFonts w:ascii="宋体" w:hAnsi="宋体" w:cs="宋体"/>
                <w:sz w:val="24"/>
                <w:szCs w:val="24"/>
              </w:rPr>
            </w:pPr>
            <w:r>
              <w:rPr>
                <w:rFonts w:hint="eastAsia" w:ascii="宋体" w:hAnsi="宋体" w:cs="宋体"/>
                <w:sz w:val="24"/>
                <w:szCs w:val="24"/>
              </w:rPr>
              <w:t>舞蹈表演</w:t>
            </w:r>
          </w:p>
        </w:tc>
        <w:tc>
          <w:tcPr>
            <w:tcW w:w="3525" w:type="dxa"/>
            <w:shd w:val="clear" w:color="auto" w:fill="C5E0B3" w:themeFill="accent6" w:themeFillTint="66"/>
            <w:vAlign w:val="center"/>
          </w:tcPr>
          <w:p>
            <w:pPr>
              <w:spacing w:line="360" w:lineRule="auto"/>
              <w:rPr>
                <w:rFonts w:ascii="宋体" w:hAnsi="宋体" w:cs="宋体"/>
                <w:sz w:val="24"/>
                <w:szCs w:val="24"/>
              </w:rPr>
            </w:pPr>
            <w:r>
              <w:rPr>
                <w:rFonts w:hint="eastAsia" w:ascii="宋体" w:hAnsi="宋体" w:cs="宋体"/>
                <w:sz w:val="24"/>
                <w:szCs w:val="24"/>
              </w:rPr>
              <w:t>黄河科技学院附属中专</w:t>
            </w:r>
          </w:p>
        </w:tc>
        <w:tc>
          <w:tcPr>
            <w:tcW w:w="1481" w:type="dxa"/>
            <w:vMerge w:val="continue"/>
            <w:shd w:val="clear" w:color="auto" w:fill="C5E0B3" w:themeFill="accent6" w:themeFillTint="66"/>
            <w:vAlign w:val="center"/>
          </w:tcPr>
          <w:p>
            <w:pPr>
              <w:spacing w:line="360" w:lineRule="auto"/>
              <w:jc w:val="center"/>
              <w:rPr>
                <w:rFonts w:ascii="宋体" w:hAnsi="宋体" w:cs="宋体"/>
                <w:sz w:val="24"/>
                <w:szCs w:val="24"/>
              </w:rPr>
            </w:pPr>
          </w:p>
        </w:tc>
      </w:tr>
    </w:tbl>
    <w:p>
      <w:pPr>
        <w:widowControl w:val="0"/>
        <w:ind w:firstLine="562" w:firstLineChars="200"/>
        <w:rPr>
          <w:rFonts w:asciiTheme="minorEastAsia" w:hAnsiTheme="minorEastAsia" w:eastAsiaTheme="minorEastAsia" w:cstheme="minorEastAsia"/>
          <w:b/>
          <w:bCs/>
          <w:sz w:val="28"/>
          <w:szCs w:val="28"/>
        </w:rPr>
      </w:pPr>
    </w:p>
    <w:p>
      <w:pPr>
        <w:widowControl w:val="0"/>
        <w:jc w:val="center"/>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表3-3：河南省品牌示范专业和特色专业建设计划项目（40个）</w:t>
      </w:r>
    </w:p>
    <w:tbl>
      <w:tblPr>
        <w:tblStyle w:val="13"/>
        <w:tblW w:w="87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2994"/>
        <w:gridCol w:w="3587"/>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88" w:type="dxa"/>
            <w:shd w:val="clear" w:color="auto" w:fill="D9E2F3" w:themeFill="accent5" w:themeFillTint="33"/>
            <w:vAlign w:val="center"/>
          </w:tcPr>
          <w:p>
            <w:pPr>
              <w:spacing w:line="360" w:lineRule="auto"/>
              <w:jc w:val="center"/>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序号</w:t>
            </w:r>
          </w:p>
        </w:tc>
        <w:tc>
          <w:tcPr>
            <w:tcW w:w="2994" w:type="dxa"/>
            <w:shd w:val="clear" w:color="auto" w:fill="D9E2F3" w:themeFill="accent5" w:themeFillTint="33"/>
            <w:vAlign w:val="center"/>
          </w:tcPr>
          <w:p>
            <w:pPr>
              <w:spacing w:line="360" w:lineRule="auto"/>
              <w:jc w:val="center"/>
              <w:rPr>
                <w:b/>
                <w:bCs/>
              </w:rPr>
            </w:pPr>
            <w:r>
              <w:rPr>
                <w:rFonts w:hint="eastAsia" w:asciiTheme="minorEastAsia" w:hAnsiTheme="minorEastAsia" w:eastAsiaTheme="minorEastAsia" w:cstheme="minorEastAsia"/>
                <w:b/>
                <w:bCs/>
                <w:sz w:val="24"/>
                <w:szCs w:val="24"/>
              </w:rPr>
              <w:t>专业名称</w:t>
            </w:r>
          </w:p>
        </w:tc>
        <w:tc>
          <w:tcPr>
            <w:tcW w:w="3587" w:type="dxa"/>
            <w:shd w:val="clear" w:color="auto" w:fill="D9E2F3" w:themeFill="accent5" w:themeFillTint="33"/>
            <w:vAlign w:val="center"/>
          </w:tcPr>
          <w:p>
            <w:pPr>
              <w:spacing w:line="360" w:lineRule="auto"/>
              <w:jc w:val="center"/>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项目学校</w:t>
            </w:r>
          </w:p>
        </w:tc>
        <w:tc>
          <w:tcPr>
            <w:tcW w:w="1332" w:type="dxa"/>
            <w:shd w:val="clear" w:color="auto" w:fill="D9E2F3" w:themeFill="accent5" w:themeFillTint="33"/>
            <w:vAlign w:val="center"/>
          </w:tcPr>
          <w:p>
            <w:pPr>
              <w:spacing w:line="360" w:lineRule="auto"/>
              <w:jc w:val="center"/>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批次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shd w:val="clear" w:color="auto" w:fill="D9E2F3" w:themeFill="accent5" w:themeFillTint="33"/>
            <w:vAlign w:val="center"/>
          </w:tcPr>
          <w:p>
            <w:pPr>
              <w:spacing w:line="360" w:lineRule="auto"/>
              <w:jc w:val="center"/>
              <w:textAlignment w:val="bottom"/>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bidi="ar"/>
              </w:rPr>
              <w:t>1</w:t>
            </w:r>
          </w:p>
        </w:tc>
        <w:tc>
          <w:tcPr>
            <w:tcW w:w="2994" w:type="dxa"/>
            <w:shd w:val="clear" w:color="auto" w:fill="C5E0B3" w:themeFill="accent6" w:themeFillTint="66"/>
            <w:vAlign w:val="center"/>
          </w:tcPr>
          <w:p>
            <w:pPr>
              <w:spacing w:line="360" w:lineRule="auto"/>
              <w:jc w:val="center"/>
            </w:pPr>
            <w:r>
              <w:rPr>
                <w:rFonts w:hint="eastAsia" w:asciiTheme="minorEastAsia" w:hAnsiTheme="minorEastAsia" w:eastAsiaTheme="minorEastAsia" w:cstheme="minorEastAsia"/>
                <w:sz w:val="24"/>
                <w:szCs w:val="24"/>
              </w:rPr>
              <w:t>机电技术应用</w:t>
            </w:r>
          </w:p>
        </w:tc>
        <w:tc>
          <w:tcPr>
            <w:tcW w:w="3587" w:type="dxa"/>
            <w:shd w:val="clear" w:color="auto" w:fill="C5E0B3" w:themeFill="accent6" w:themeFillTint="66"/>
            <w:vAlign w:val="center"/>
          </w:tcPr>
          <w:p>
            <w:pPr>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郑州市电子信息工程学校</w:t>
            </w:r>
          </w:p>
        </w:tc>
        <w:tc>
          <w:tcPr>
            <w:tcW w:w="1332" w:type="dxa"/>
            <w:vMerge w:val="restart"/>
            <w:shd w:val="clear" w:color="auto" w:fill="C5E0B3" w:themeFill="accent6" w:themeFillTint="66"/>
            <w:vAlign w:val="center"/>
          </w:tcPr>
          <w:p>
            <w:pPr>
              <w:spacing w:line="360" w:lineRule="auto"/>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第一批</w:t>
            </w:r>
          </w:p>
          <w:p>
            <w:pPr>
              <w:spacing w:line="360" w:lineRule="auto"/>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88" w:type="dxa"/>
            <w:shd w:val="clear" w:color="auto" w:fill="D9E2F3" w:themeFill="accent5" w:themeFillTint="33"/>
            <w:vAlign w:val="center"/>
          </w:tcPr>
          <w:p>
            <w:pPr>
              <w:spacing w:line="360" w:lineRule="auto"/>
              <w:jc w:val="center"/>
              <w:textAlignment w:val="bottom"/>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bidi="ar"/>
              </w:rPr>
              <w:t>2</w:t>
            </w:r>
          </w:p>
        </w:tc>
        <w:tc>
          <w:tcPr>
            <w:tcW w:w="2994" w:type="dxa"/>
            <w:shd w:val="clear" w:color="auto" w:fill="C5E0B3" w:themeFill="accent6" w:themeFillTint="66"/>
            <w:vAlign w:val="center"/>
          </w:tcPr>
          <w:p>
            <w:pPr>
              <w:spacing w:line="360" w:lineRule="auto"/>
              <w:jc w:val="center"/>
            </w:pPr>
            <w:r>
              <w:rPr>
                <w:rFonts w:hint="eastAsia" w:asciiTheme="minorEastAsia" w:hAnsiTheme="minorEastAsia" w:eastAsiaTheme="minorEastAsia" w:cstheme="minorEastAsia"/>
                <w:sz w:val="24"/>
                <w:szCs w:val="24"/>
              </w:rPr>
              <w:t>数控技术应用</w:t>
            </w:r>
          </w:p>
        </w:tc>
        <w:tc>
          <w:tcPr>
            <w:tcW w:w="3587" w:type="dxa"/>
            <w:shd w:val="clear" w:color="auto" w:fill="C5E0B3" w:themeFill="accent6" w:themeFillTint="66"/>
            <w:vAlign w:val="center"/>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郑州市国防科技学校</w:t>
            </w:r>
          </w:p>
        </w:tc>
        <w:tc>
          <w:tcPr>
            <w:tcW w:w="1332" w:type="dxa"/>
            <w:vMerge w:val="continue"/>
            <w:shd w:val="clear" w:color="auto" w:fill="C5E0B3" w:themeFill="accent6" w:themeFillTint="66"/>
            <w:vAlign w:val="center"/>
          </w:tcPr>
          <w:p>
            <w:pPr>
              <w:widowControl w:val="0"/>
              <w:spacing w:line="360" w:lineRule="auto"/>
              <w:jc w:val="center"/>
              <w:rPr>
                <w:rFonts w:asciiTheme="minorEastAsia" w:hAnsiTheme="minorEastAsia" w:eastAsiaTheme="minorEastAsia" w:cstheme="minorEastAsia"/>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788" w:type="dxa"/>
            <w:shd w:val="clear" w:color="auto" w:fill="D9E2F3" w:themeFill="accent5" w:themeFillTint="33"/>
            <w:vAlign w:val="center"/>
          </w:tcPr>
          <w:p>
            <w:pPr>
              <w:spacing w:line="360" w:lineRule="auto"/>
              <w:jc w:val="center"/>
              <w:textAlignment w:val="bottom"/>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bidi="ar"/>
              </w:rPr>
              <w:t>3</w:t>
            </w:r>
          </w:p>
        </w:tc>
        <w:tc>
          <w:tcPr>
            <w:tcW w:w="2994" w:type="dxa"/>
            <w:shd w:val="clear" w:color="auto" w:fill="C5E0B3" w:themeFill="accent6" w:themeFillTint="66"/>
            <w:vAlign w:val="center"/>
          </w:tcPr>
          <w:p>
            <w:pPr>
              <w:spacing w:line="360" w:lineRule="auto"/>
              <w:jc w:val="center"/>
            </w:pPr>
            <w:r>
              <w:rPr>
                <w:rFonts w:hint="eastAsia" w:asciiTheme="minorEastAsia" w:hAnsiTheme="minorEastAsia" w:eastAsiaTheme="minorEastAsia" w:cstheme="minorEastAsia"/>
                <w:sz w:val="24"/>
                <w:szCs w:val="24"/>
              </w:rPr>
              <w:t>城市轨道交通供电</w:t>
            </w:r>
          </w:p>
        </w:tc>
        <w:tc>
          <w:tcPr>
            <w:tcW w:w="3587" w:type="dxa"/>
            <w:shd w:val="clear" w:color="auto" w:fill="C5E0B3" w:themeFill="accent6" w:themeFillTint="66"/>
            <w:vAlign w:val="center"/>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郑州市科技工业学校</w:t>
            </w:r>
          </w:p>
        </w:tc>
        <w:tc>
          <w:tcPr>
            <w:tcW w:w="1332" w:type="dxa"/>
            <w:vMerge w:val="continue"/>
            <w:shd w:val="clear" w:color="auto" w:fill="C5E0B3" w:themeFill="accent6" w:themeFillTint="66"/>
            <w:vAlign w:val="center"/>
          </w:tcPr>
          <w:p>
            <w:pPr>
              <w:widowControl w:val="0"/>
              <w:spacing w:line="360" w:lineRule="auto"/>
              <w:jc w:val="center"/>
              <w:rPr>
                <w:rFonts w:asciiTheme="minorEastAsia" w:hAnsiTheme="minorEastAsia" w:eastAsiaTheme="minorEastAsia" w:cstheme="minorEastAsia"/>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88" w:type="dxa"/>
            <w:shd w:val="clear" w:color="auto" w:fill="D9E2F3" w:themeFill="accent5" w:themeFillTint="33"/>
            <w:vAlign w:val="center"/>
          </w:tcPr>
          <w:p>
            <w:pPr>
              <w:spacing w:line="360" w:lineRule="auto"/>
              <w:jc w:val="center"/>
              <w:textAlignment w:val="bottom"/>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bidi="ar"/>
              </w:rPr>
              <w:t>4</w:t>
            </w:r>
          </w:p>
        </w:tc>
        <w:tc>
          <w:tcPr>
            <w:tcW w:w="2994" w:type="dxa"/>
            <w:shd w:val="clear" w:color="auto" w:fill="C5E0B3" w:themeFill="accent6" w:themeFillTint="66"/>
            <w:vAlign w:val="center"/>
          </w:tcPr>
          <w:p>
            <w:pPr>
              <w:spacing w:line="360" w:lineRule="auto"/>
              <w:jc w:val="center"/>
            </w:pPr>
            <w:r>
              <w:rPr>
                <w:rFonts w:hint="eastAsia" w:asciiTheme="minorEastAsia" w:hAnsiTheme="minorEastAsia" w:eastAsiaTheme="minorEastAsia" w:cstheme="minorEastAsia"/>
                <w:sz w:val="24"/>
                <w:szCs w:val="24"/>
              </w:rPr>
              <w:t>客户信息服务</w:t>
            </w:r>
          </w:p>
        </w:tc>
        <w:tc>
          <w:tcPr>
            <w:tcW w:w="3587" w:type="dxa"/>
            <w:shd w:val="clear" w:color="auto" w:fill="C5E0B3" w:themeFill="accent6" w:themeFillTint="66"/>
            <w:vAlign w:val="center"/>
          </w:tcPr>
          <w:p>
            <w:pPr>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郑州机电工程学校</w:t>
            </w:r>
          </w:p>
        </w:tc>
        <w:tc>
          <w:tcPr>
            <w:tcW w:w="1332" w:type="dxa"/>
            <w:vMerge w:val="continue"/>
            <w:shd w:val="clear" w:color="auto" w:fill="C5E0B3" w:themeFill="accent6" w:themeFillTint="66"/>
            <w:vAlign w:val="center"/>
          </w:tcPr>
          <w:p>
            <w:pPr>
              <w:spacing w:line="360" w:lineRule="auto"/>
              <w:jc w:val="center"/>
              <w:rPr>
                <w:rFonts w:asciiTheme="minorEastAsia" w:hAnsiTheme="minorEastAsia" w:eastAsiaTheme="minorEastAsia" w:cstheme="minorEastAsia"/>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788" w:type="dxa"/>
            <w:shd w:val="clear" w:color="auto" w:fill="D9E2F3" w:themeFill="accent5" w:themeFillTint="33"/>
            <w:vAlign w:val="center"/>
          </w:tcPr>
          <w:p>
            <w:pPr>
              <w:spacing w:line="360" w:lineRule="auto"/>
              <w:jc w:val="center"/>
              <w:textAlignment w:val="bottom"/>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bidi="ar"/>
              </w:rPr>
              <w:t>5</w:t>
            </w:r>
          </w:p>
        </w:tc>
        <w:tc>
          <w:tcPr>
            <w:tcW w:w="2994" w:type="dxa"/>
            <w:shd w:val="clear" w:color="auto" w:fill="C5E0B3" w:themeFill="accent6" w:themeFillTint="66"/>
            <w:vAlign w:val="center"/>
          </w:tcPr>
          <w:p>
            <w:pPr>
              <w:spacing w:line="360" w:lineRule="auto"/>
              <w:jc w:val="center"/>
            </w:pPr>
            <w:r>
              <w:rPr>
                <w:rFonts w:hint="eastAsia" w:asciiTheme="minorEastAsia" w:hAnsiTheme="minorEastAsia" w:eastAsiaTheme="minorEastAsia" w:cstheme="minorEastAsia"/>
                <w:sz w:val="24"/>
                <w:szCs w:val="24"/>
              </w:rPr>
              <w:t>音乐</w:t>
            </w:r>
          </w:p>
        </w:tc>
        <w:tc>
          <w:tcPr>
            <w:tcW w:w="3587" w:type="dxa"/>
            <w:shd w:val="clear" w:color="auto" w:fill="C5E0B3" w:themeFill="accent6" w:themeFillTint="66"/>
            <w:vAlign w:val="center"/>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新密市职教中心</w:t>
            </w:r>
          </w:p>
        </w:tc>
        <w:tc>
          <w:tcPr>
            <w:tcW w:w="1332" w:type="dxa"/>
            <w:vMerge w:val="continue"/>
            <w:shd w:val="clear" w:color="auto" w:fill="C5E0B3" w:themeFill="accent6" w:themeFillTint="66"/>
            <w:vAlign w:val="center"/>
          </w:tcPr>
          <w:p>
            <w:pPr>
              <w:widowControl w:val="0"/>
              <w:spacing w:line="360" w:lineRule="auto"/>
              <w:jc w:val="center"/>
              <w:rPr>
                <w:rFonts w:asciiTheme="minorEastAsia" w:hAnsiTheme="minorEastAsia" w:eastAsiaTheme="minorEastAsia" w:cstheme="minorEastAsia"/>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88" w:type="dxa"/>
            <w:shd w:val="clear" w:color="auto" w:fill="D9E2F3" w:themeFill="accent5" w:themeFillTint="33"/>
            <w:vAlign w:val="center"/>
          </w:tcPr>
          <w:p>
            <w:pPr>
              <w:spacing w:line="360" w:lineRule="auto"/>
              <w:jc w:val="center"/>
              <w:textAlignment w:val="bottom"/>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bidi="ar"/>
              </w:rPr>
              <w:t>6</w:t>
            </w:r>
          </w:p>
        </w:tc>
        <w:tc>
          <w:tcPr>
            <w:tcW w:w="2994" w:type="dxa"/>
            <w:shd w:val="clear" w:color="auto" w:fill="C5E0B3" w:themeFill="accent6" w:themeFillTint="66"/>
            <w:vAlign w:val="center"/>
          </w:tcPr>
          <w:p>
            <w:pPr>
              <w:spacing w:line="360" w:lineRule="auto"/>
              <w:jc w:val="center"/>
            </w:pPr>
            <w:r>
              <w:rPr>
                <w:rFonts w:hint="eastAsia" w:asciiTheme="minorEastAsia" w:hAnsiTheme="minorEastAsia" w:eastAsiaTheme="minorEastAsia" w:cstheme="minorEastAsia"/>
                <w:sz w:val="24"/>
                <w:szCs w:val="24"/>
              </w:rPr>
              <w:t>美发与形象设计</w:t>
            </w:r>
          </w:p>
        </w:tc>
        <w:tc>
          <w:tcPr>
            <w:tcW w:w="3587" w:type="dxa"/>
            <w:shd w:val="clear" w:color="auto" w:fill="C5E0B3" w:themeFill="accent6" w:themeFillTint="66"/>
            <w:vAlign w:val="center"/>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bidi="ar"/>
              </w:rPr>
              <w:t>郑州市科技工业学校</w:t>
            </w:r>
          </w:p>
        </w:tc>
        <w:tc>
          <w:tcPr>
            <w:tcW w:w="1332" w:type="dxa"/>
            <w:vMerge w:val="restart"/>
            <w:shd w:val="clear" w:color="auto" w:fill="C5E0B3" w:themeFill="accent6" w:themeFillTint="66"/>
            <w:vAlign w:val="center"/>
          </w:tcPr>
          <w:p>
            <w:pPr>
              <w:widowControl w:val="0"/>
              <w:spacing w:line="360" w:lineRule="auto"/>
              <w:jc w:val="center"/>
              <w:rPr>
                <w:rFonts w:asciiTheme="minorEastAsia" w:hAnsiTheme="minorEastAsia" w:eastAsiaTheme="minorEastAsia" w:cstheme="minorEastAsia"/>
                <w:kern w:val="0"/>
                <w:sz w:val="24"/>
                <w:szCs w:val="24"/>
                <w:lang w:bidi="ar"/>
              </w:rPr>
            </w:pPr>
          </w:p>
          <w:p>
            <w:pPr>
              <w:widowControl w:val="0"/>
              <w:spacing w:line="360" w:lineRule="auto"/>
              <w:jc w:val="center"/>
              <w:rPr>
                <w:rFonts w:asciiTheme="minorEastAsia" w:hAnsiTheme="minorEastAsia" w:eastAsiaTheme="minorEastAsia" w:cstheme="minorEastAsia"/>
                <w:kern w:val="0"/>
                <w:sz w:val="24"/>
                <w:szCs w:val="24"/>
                <w:lang w:bidi="ar"/>
              </w:rPr>
            </w:pPr>
          </w:p>
          <w:p>
            <w:pPr>
              <w:widowControl w:val="0"/>
              <w:spacing w:line="360" w:lineRule="auto"/>
              <w:jc w:val="center"/>
              <w:rPr>
                <w:rFonts w:asciiTheme="minorEastAsia" w:hAnsiTheme="minorEastAsia" w:eastAsiaTheme="minorEastAsia" w:cstheme="minorEastAsia"/>
                <w:kern w:val="0"/>
                <w:sz w:val="24"/>
                <w:szCs w:val="24"/>
                <w:lang w:bidi="ar"/>
              </w:rPr>
            </w:pPr>
            <w:r>
              <w:rPr>
                <w:rFonts w:hint="eastAsia" w:asciiTheme="minorEastAsia" w:hAnsiTheme="minorEastAsia" w:eastAsiaTheme="minorEastAsia" w:cstheme="minorEastAsia"/>
                <w:kern w:val="0"/>
                <w:sz w:val="24"/>
                <w:szCs w:val="24"/>
                <w:lang w:bidi="ar"/>
              </w:rPr>
              <w:t>第二批</w:t>
            </w:r>
          </w:p>
          <w:p>
            <w:pPr>
              <w:widowControl w:val="0"/>
              <w:spacing w:line="360" w:lineRule="auto"/>
              <w:jc w:val="center"/>
              <w:rPr>
                <w:rFonts w:asciiTheme="minorEastAsia" w:hAnsiTheme="minorEastAsia" w:eastAsiaTheme="minorEastAsia" w:cstheme="minorEastAsia"/>
                <w:kern w:val="0"/>
                <w:sz w:val="24"/>
                <w:szCs w:val="24"/>
                <w:lang w:bidi="ar"/>
              </w:rPr>
            </w:pPr>
            <w:r>
              <w:rPr>
                <w:rFonts w:hint="eastAsia" w:asciiTheme="minorEastAsia" w:hAnsiTheme="minorEastAsia" w:eastAsiaTheme="minorEastAsia" w:cstheme="minorEastAsia"/>
                <w:kern w:val="0"/>
                <w:sz w:val="24"/>
                <w:szCs w:val="24"/>
                <w:lang w:bidi="ar"/>
              </w:rPr>
              <w:t>6个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88" w:type="dxa"/>
            <w:shd w:val="clear" w:color="auto" w:fill="D9E2F3" w:themeFill="accent5" w:themeFillTint="33"/>
            <w:vAlign w:val="center"/>
          </w:tcPr>
          <w:p>
            <w:pPr>
              <w:spacing w:line="360" w:lineRule="auto"/>
              <w:jc w:val="center"/>
              <w:textAlignment w:val="bottom"/>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bidi="ar"/>
              </w:rPr>
              <w:t>7</w:t>
            </w:r>
          </w:p>
        </w:tc>
        <w:tc>
          <w:tcPr>
            <w:tcW w:w="2994" w:type="dxa"/>
            <w:shd w:val="clear" w:color="auto" w:fill="C5E0B3" w:themeFill="accent6" w:themeFillTint="66"/>
            <w:vAlign w:val="center"/>
          </w:tcPr>
          <w:p>
            <w:pPr>
              <w:spacing w:line="360" w:lineRule="auto"/>
              <w:jc w:val="center"/>
            </w:pPr>
            <w:r>
              <w:rPr>
                <w:rFonts w:hint="eastAsia" w:asciiTheme="minorEastAsia" w:hAnsiTheme="minorEastAsia" w:eastAsiaTheme="minorEastAsia" w:cstheme="minorEastAsia"/>
                <w:sz w:val="24"/>
                <w:szCs w:val="24"/>
              </w:rPr>
              <w:t>电子技术应用</w:t>
            </w:r>
          </w:p>
        </w:tc>
        <w:tc>
          <w:tcPr>
            <w:tcW w:w="3587" w:type="dxa"/>
            <w:shd w:val="clear" w:color="auto" w:fill="C5E0B3" w:themeFill="accent6" w:themeFillTint="66"/>
            <w:vAlign w:val="center"/>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郑州市电子信息工程学校</w:t>
            </w:r>
          </w:p>
        </w:tc>
        <w:tc>
          <w:tcPr>
            <w:tcW w:w="1332" w:type="dxa"/>
            <w:vMerge w:val="continue"/>
            <w:shd w:val="clear" w:color="auto" w:fill="C5E0B3" w:themeFill="accent6" w:themeFillTint="66"/>
            <w:vAlign w:val="center"/>
          </w:tcPr>
          <w:p>
            <w:pPr>
              <w:widowControl w:val="0"/>
              <w:spacing w:line="360" w:lineRule="auto"/>
              <w:jc w:val="center"/>
              <w:rPr>
                <w:rFonts w:asciiTheme="minorEastAsia" w:hAnsiTheme="minorEastAsia" w:eastAsiaTheme="minorEastAsia" w:cstheme="minorEastAsia"/>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shd w:val="clear" w:color="auto" w:fill="D9E2F3" w:themeFill="accent5" w:themeFillTint="33"/>
            <w:vAlign w:val="center"/>
          </w:tcPr>
          <w:p>
            <w:pPr>
              <w:spacing w:line="360" w:lineRule="auto"/>
              <w:jc w:val="center"/>
              <w:textAlignment w:val="bottom"/>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bidi="ar"/>
              </w:rPr>
              <w:t>8</w:t>
            </w:r>
          </w:p>
        </w:tc>
        <w:tc>
          <w:tcPr>
            <w:tcW w:w="2994" w:type="dxa"/>
            <w:shd w:val="clear" w:color="auto" w:fill="C5E0B3" w:themeFill="accent6" w:themeFillTint="66"/>
            <w:vAlign w:val="center"/>
          </w:tcPr>
          <w:p>
            <w:pPr>
              <w:spacing w:line="360" w:lineRule="auto"/>
              <w:jc w:val="center"/>
            </w:pPr>
            <w:r>
              <w:rPr>
                <w:rFonts w:hint="eastAsia" w:asciiTheme="minorEastAsia" w:hAnsiTheme="minorEastAsia" w:eastAsiaTheme="minorEastAsia" w:cstheme="minorEastAsia"/>
                <w:sz w:val="24"/>
                <w:szCs w:val="24"/>
              </w:rPr>
              <w:t>计算机平面设计(3D打印)</w:t>
            </w:r>
          </w:p>
        </w:tc>
        <w:tc>
          <w:tcPr>
            <w:tcW w:w="3587" w:type="dxa"/>
            <w:shd w:val="clear" w:color="auto" w:fill="C5E0B3" w:themeFill="accent6" w:themeFillTint="66"/>
            <w:vAlign w:val="center"/>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bidi="ar"/>
              </w:rPr>
              <w:t>郑州市国防科技学校</w:t>
            </w:r>
          </w:p>
        </w:tc>
        <w:tc>
          <w:tcPr>
            <w:tcW w:w="1332" w:type="dxa"/>
            <w:vMerge w:val="continue"/>
            <w:shd w:val="clear" w:color="auto" w:fill="C5E0B3" w:themeFill="accent6" w:themeFillTint="66"/>
            <w:vAlign w:val="center"/>
          </w:tcPr>
          <w:p>
            <w:pPr>
              <w:widowControl w:val="0"/>
              <w:spacing w:line="360" w:lineRule="auto"/>
              <w:jc w:val="center"/>
              <w:rPr>
                <w:rFonts w:asciiTheme="minorEastAsia" w:hAnsiTheme="minorEastAsia" w:eastAsiaTheme="minorEastAsia" w:cstheme="minorEastAsia"/>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88" w:type="dxa"/>
            <w:shd w:val="clear" w:color="auto" w:fill="D9E2F3" w:themeFill="accent5" w:themeFillTint="33"/>
            <w:vAlign w:val="center"/>
          </w:tcPr>
          <w:p>
            <w:pPr>
              <w:spacing w:line="360" w:lineRule="auto"/>
              <w:jc w:val="center"/>
              <w:textAlignment w:val="bottom"/>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bidi="ar"/>
              </w:rPr>
              <w:t>9</w:t>
            </w:r>
          </w:p>
        </w:tc>
        <w:tc>
          <w:tcPr>
            <w:tcW w:w="2994" w:type="dxa"/>
            <w:shd w:val="clear" w:color="auto" w:fill="C5E0B3" w:themeFill="accent6" w:themeFillTint="66"/>
            <w:vAlign w:val="center"/>
          </w:tcPr>
          <w:p>
            <w:pPr>
              <w:spacing w:line="360" w:lineRule="auto"/>
              <w:jc w:val="center"/>
            </w:pPr>
            <w:r>
              <w:rPr>
                <w:rFonts w:hint="eastAsia" w:asciiTheme="minorEastAsia" w:hAnsiTheme="minorEastAsia" w:eastAsiaTheme="minorEastAsia" w:cstheme="minorEastAsia"/>
                <w:sz w:val="24"/>
                <w:szCs w:val="24"/>
              </w:rPr>
              <w:t>电子商务</w:t>
            </w:r>
          </w:p>
        </w:tc>
        <w:tc>
          <w:tcPr>
            <w:tcW w:w="3587" w:type="dxa"/>
            <w:shd w:val="clear" w:color="auto" w:fill="C5E0B3" w:themeFill="accent6" w:themeFillTint="66"/>
            <w:vAlign w:val="center"/>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bidi="ar"/>
              </w:rPr>
              <w:t>郑州市金融学校</w:t>
            </w:r>
          </w:p>
        </w:tc>
        <w:tc>
          <w:tcPr>
            <w:tcW w:w="1332" w:type="dxa"/>
            <w:vMerge w:val="continue"/>
            <w:shd w:val="clear" w:color="auto" w:fill="C5E0B3" w:themeFill="accent6" w:themeFillTint="66"/>
            <w:vAlign w:val="center"/>
          </w:tcPr>
          <w:p>
            <w:pPr>
              <w:widowControl w:val="0"/>
              <w:spacing w:line="360" w:lineRule="auto"/>
              <w:jc w:val="center"/>
              <w:rPr>
                <w:rFonts w:asciiTheme="minorEastAsia" w:hAnsiTheme="minorEastAsia" w:eastAsiaTheme="minorEastAsia" w:cstheme="minorEastAsia"/>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88" w:type="dxa"/>
            <w:shd w:val="clear" w:color="auto" w:fill="D9E2F3" w:themeFill="accent5" w:themeFillTint="33"/>
            <w:vAlign w:val="center"/>
          </w:tcPr>
          <w:p>
            <w:pPr>
              <w:spacing w:line="360" w:lineRule="auto"/>
              <w:jc w:val="center"/>
              <w:textAlignment w:val="bottom"/>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bidi="ar"/>
              </w:rPr>
              <w:t>10</w:t>
            </w:r>
          </w:p>
        </w:tc>
        <w:tc>
          <w:tcPr>
            <w:tcW w:w="2994" w:type="dxa"/>
            <w:shd w:val="clear" w:color="auto" w:fill="C5E0B3" w:themeFill="accent6" w:themeFillTint="66"/>
            <w:vAlign w:val="center"/>
          </w:tcPr>
          <w:p>
            <w:pPr>
              <w:spacing w:line="360" w:lineRule="auto"/>
              <w:jc w:val="center"/>
            </w:pPr>
            <w:r>
              <w:rPr>
                <w:rFonts w:hint="eastAsia" w:asciiTheme="minorEastAsia" w:hAnsiTheme="minorEastAsia" w:eastAsiaTheme="minorEastAsia" w:cstheme="minorEastAsia"/>
                <w:sz w:val="24"/>
                <w:szCs w:val="24"/>
              </w:rPr>
              <w:t>服装设计与工艺</w:t>
            </w:r>
          </w:p>
        </w:tc>
        <w:tc>
          <w:tcPr>
            <w:tcW w:w="3587" w:type="dxa"/>
            <w:shd w:val="clear" w:color="auto" w:fill="C5E0B3" w:themeFill="accent6" w:themeFillTint="66"/>
            <w:vAlign w:val="center"/>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bidi="ar"/>
              </w:rPr>
              <w:t>郑州机电工程学校</w:t>
            </w:r>
          </w:p>
        </w:tc>
        <w:tc>
          <w:tcPr>
            <w:tcW w:w="1332" w:type="dxa"/>
            <w:vMerge w:val="continue"/>
            <w:shd w:val="clear" w:color="auto" w:fill="C5E0B3" w:themeFill="accent6" w:themeFillTint="66"/>
            <w:vAlign w:val="center"/>
          </w:tcPr>
          <w:p>
            <w:pPr>
              <w:widowControl w:val="0"/>
              <w:spacing w:line="360" w:lineRule="auto"/>
              <w:jc w:val="center"/>
              <w:rPr>
                <w:rFonts w:asciiTheme="minorEastAsia" w:hAnsiTheme="minorEastAsia" w:eastAsiaTheme="minorEastAsia" w:cstheme="minorEastAsia"/>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88" w:type="dxa"/>
            <w:shd w:val="clear" w:color="auto" w:fill="D9E2F3" w:themeFill="accent5" w:themeFillTint="33"/>
            <w:vAlign w:val="center"/>
          </w:tcPr>
          <w:p>
            <w:pPr>
              <w:spacing w:line="360" w:lineRule="auto"/>
              <w:jc w:val="center"/>
              <w:textAlignment w:val="bottom"/>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bidi="ar"/>
              </w:rPr>
              <w:t>11</w:t>
            </w:r>
          </w:p>
        </w:tc>
        <w:tc>
          <w:tcPr>
            <w:tcW w:w="2994" w:type="dxa"/>
            <w:shd w:val="clear" w:color="auto" w:fill="C5E0B3" w:themeFill="accent6" w:themeFillTint="66"/>
            <w:vAlign w:val="center"/>
          </w:tcPr>
          <w:p>
            <w:pPr>
              <w:spacing w:line="360" w:lineRule="auto"/>
              <w:jc w:val="center"/>
            </w:pPr>
            <w:r>
              <w:rPr>
                <w:rFonts w:hint="eastAsia" w:asciiTheme="minorEastAsia" w:hAnsiTheme="minorEastAsia" w:eastAsiaTheme="minorEastAsia" w:cstheme="minorEastAsia"/>
                <w:sz w:val="24"/>
                <w:szCs w:val="24"/>
              </w:rPr>
              <w:t>旅游服务与管理专业</w:t>
            </w:r>
          </w:p>
        </w:tc>
        <w:tc>
          <w:tcPr>
            <w:tcW w:w="3587" w:type="dxa"/>
            <w:shd w:val="clear" w:color="auto" w:fill="C5E0B3" w:themeFill="accent6" w:themeFillTint="66"/>
            <w:vAlign w:val="center"/>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bidi="ar"/>
              </w:rPr>
              <w:t>新密市职教中心</w:t>
            </w:r>
          </w:p>
        </w:tc>
        <w:tc>
          <w:tcPr>
            <w:tcW w:w="1332" w:type="dxa"/>
            <w:vMerge w:val="continue"/>
            <w:shd w:val="clear" w:color="auto" w:fill="C5E0B3" w:themeFill="accent6" w:themeFillTint="66"/>
            <w:vAlign w:val="center"/>
          </w:tcPr>
          <w:p>
            <w:pPr>
              <w:widowControl w:val="0"/>
              <w:spacing w:line="360" w:lineRule="auto"/>
              <w:jc w:val="center"/>
              <w:rPr>
                <w:rFonts w:asciiTheme="minorEastAsia" w:hAnsiTheme="minorEastAsia" w:eastAsiaTheme="minorEastAsia" w:cstheme="minorEastAsia"/>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88" w:type="dxa"/>
            <w:shd w:val="clear" w:color="auto" w:fill="D9E2F3" w:themeFill="accent5" w:themeFillTint="33"/>
            <w:vAlign w:val="center"/>
          </w:tcPr>
          <w:p>
            <w:pPr>
              <w:spacing w:line="360" w:lineRule="auto"/>
              <w:jc w:val="center"/>
              <w:textAlignment w:val="bottom"/>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bidi="ar"/>
              </w:rPr>
              <w:t>12</w:t>
            </w:r>
          </w:p>
        </w:tc>
        <w:tc>
          <w:tcPr>
            <w:tcW w:w="2994" w:type="dxa"/>
            <w:shd w:val="clear" w:color="auto" w:fill="C5E0B3" w:themeFill="accent6" w:themeFillTint="66"/>
            <w:vAlign w:val="center"/>
          </w:tcPr>
          <w:p>
            <w:pPr>
              <w:spacing w:line="360" w:lineRule="auto"/>
              <w:jc w:val="center"/>
            </w:pPr>
            <w:r>
              <w:rPr>
                <w:rFonts w:hint="eastAsia" w:asciiTheme="minorEastAsia" w:hAnsiTheme="minorEastAsia" w:eastAsiaTheme="minorEastAsia" w:cstheme="minorEastAsia"/>
                <w:sz w:val="24"/>
                <w:szCs w:val="24"/>
              </w:rPr>
              <w:t>物流服务与管理</w:t>
            </w:r>
          </w:p>
        </w:tc>
        <w:tc>
          <w:tcPr>
            <w:tcW w:w="3587" w:type="dxa"/>
            <w:shd w:val="clear" w:color="auto" w:fill="C5E0B3" w:themeFill="accent6" w:themeFillTint="66"/>
            <w:vAlign w:val="center"/>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郑州市经济贸易学校</w:t>
            </w:r>
          </w:p>
        </w:tc>
        <w:tc>
          <w:tcPr>
            <w:tcW w:w="1332" w:type="dxa"/>
            <w:vMerge w:val="restart"/>
            <w:shd w:val="clear" w:color="auto" w:fill="C5E0B3" w:themeFill="accent6" w:themeFillTint="66"/>
            <w:vAlign w:val="center"/>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第三批</w:t>
            </w:r>
          </w:p>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788" w:type="dxa"/>
            <w:shd w:val="clear" w:color="auto" w:fill="D9E2F3" w:themeFill="accent5" w:themeFillTint="33"/>
            <w:vAlign w:val="center"/>
          </w:tcPr>
          <w:p>
            <w:pPr>
              <w:spacing w:line="360" w:lineRule="auto"/>
              <w:jc w:val="center"/>
              <w:textAlignment w:val="bottom"/>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bidi="ar"/>
              </w:rPr>
              <w:t>13</w:t>
            </w:r>
          </w:p>
        </w:tc>
        <w:tc>
          <w:tcPr>
            <w:tcW w:w="2994" w:type="dxa"/>
            <w:shd w:val="clear" w:color="auto" w:fill="C5E0B3" w:themeFill="accent6" w:themeFillTint="66"/>
            <w:vAlign w:val="center"/>
          </w:tcPr>
          <w:p>
            <w:pPr>
              <w:spacing w:line="360" w:lineRule="auto"/>
              <w:jc w:val="center"/>
            </w:pPr>
            <w:r>
              <w:rPr>
                <w:rFonts w:hint="eastAsia" w:asciiTheme="minorEastAsia" w:hAnsiTheme="minorEastAsia" w:eastAsiaTheme="minorEastAsia" w:cstheme="minorEastAsia"/>
                <w:sz w:val="24"/>
                <w:szCs w:val="24"/>
              </w:rPr>
              <w:t>护理（老年护理方向）</w:t>
            </w:r>
          </w:p>
        </w:tc>
        <w:tc>
          <w:tcPr>
            <w:tcW w:w="3587" w:type="dxa"/>
            <w:vMerge w:val="restart"/>
            <w:shd w:val="clear" w:color="auto" w:fill="C5E0B3" w:themeFill="accent6" w:themeFillTint="66"/>
            <w:vAlign w:val="center"/>
          </w:tcPr>
          <w:p>
            <w:pPr>
              <w:widowControl w:val="0"/>
              <w:spacing w:line="360" w:lineRule="auto"/>
              <w:jc w:val="center"/>
              <w:rPr>
                <w:rFonts w:ascii="宋体" w:hAnsi="宋体" w:cs="宋体"/>
                <w:sz w:val="24"/>
                <w:szCs w:val="24"/>
              </w:rPr>
            </w:pPr>
            <w:r>
              <w:rPr>
                <w:rFonts w:hint="eastAsia" w:ascii="宋体" w:hAnsi="宋体" w:cs="宋体"/>
                <w:sz w:val="24"/>
                <w:szCs w:val="24"/>
              </w:rPr>
              <w:t>郑州卫生健康职业学院中专部</w:t>
            </w:r>
          </w:p>
        </w:tc>
        <w:tc>
          <w:tcPr>
            <w:tcW w:w="1332" w:type="dxa"/>
            <w:vMerge w:val="continue"/>
            <w:vAlign w:val="center"/>
          </w:tcPr>
          <w:p>
            <w:pPr>
              <w:widowControl w:val="0"/>
              <w:spacing w:line="360" w:lineRule="auto"/>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88" w:type="dxa"/>
            <w:shd w:val="clear" w:color="auto" w:fill="D9E2F3" w:themeFill="accent5" w:themeFillTint="33"/>
            <w:vAlign w:val="center"/>
          </w:tcPr>
          <w:p>
            <w:pPr>
              <w:spacing w:line="360" w:lineRule="auto"/>
              <w:jc w:val="center"/>
              <w:textAlignment w:val="bottom"/>
              <w:rPr>
                <w:rFonts w:asciiTheme="minorEastAsia" w:hAnsiTheme="minorEastAsia" w:eastAsiaTheme="minorEastAsia" w:cstheme="minorEastAsia"/>
                <w:kern w:val="0"/>
                <w:sz w:val="24"/>
                <w:szCs w:val="24"/>
                <w:lang w:bidi="ar"/>
              </w:rPr>
            </w:pPr>
            <w:r>
              <w:rPr>
                <w:rFonts w:hint="eastAsia" w:asciiTheme="minorEastAsia" w:hAnsiTheme="minorEastAsia" w:eastAsiaTheme="minorEastAsia" w:cstheme="minorEastAsia"/>
                <w:kern w:val="0"/>
                <w:sz w:val="24"/>
                <w:szCs w:val="24"/>
                <w:lang w:bidi="ar"/>
              </w:rPr>
              <w:t>14</w:t>
            </w:r>
          </w:p>
        </w:tc>
        <w:tc>
          <w:tcPr>
            <w:tcW w:w="2994" w:type="dxa"/>
            <w:shd w:val="clear" w:color="auto" w:fill="C5E0B3" w:themeFill="accent6" w:themeFillTint="66"/>
            <w:vAlign w:val="center"/>
          </w:tcPr>
          <w:p>
            <w:pPr>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康复</w:t>
            </w:r>
          </w:p>
        </w:tc>
        <w:tc>
          <w:tcPr>
            <w:tcW w:w="3587" w:type="dxa"/>
            <w:vMerge w:val="continue"/>
            <w:shd w:val="clear" w:color="auto" w:fill="C5E0B3" w:themeFill="accent6" w:themeFillTint="66"/>
            <w:vAlign w:val="center"/>
          </w:tcPr>
          <w:p>
            <w:pPr>
              <w:widowControl w:val="0"/>
              <w:spacing w:line="360" w:lineRule="auto"/>
              <w:jc w:val="center"/>
              <w:rPr>
                <w:rFonts w:ascii="宋体" w:hAnsi="宋体" w:cs="宋体"/>
                <w:sz w:val="24"/>
                <w:szCs w:val="24"/>
              </w:rPr>
            </w:pPr>
          </w:p>
        </w:tc>
        <w:tc>
          <w:tcPr>
            <w:tcW w:w="1332" w:type="dxa"/>
            <w:vMerge w:val="continue"/>
            <w:vAlign w:val="center"/>
          </w:tcPr>
          <w:p>
            <w:pPr>
              <w:widowControl w:val="0"/>
              <w:spacing w:line="360" w:lineRule="auto"/>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88" w:type="dxa"/>
            <w:shd w:val="clear" w:color="auto" w:fill="D9E2F3" w:themeFill="accent5" w:themeFillTint="33"/>
            <w:vAlign w:val="center"/>
          </w:tcPr>
          <w:p>
            <w:pPr>
              <w:spacing w:line="360" w:lineRule="auto"/>
              <w:jc w:val="center"/>
              <w:textAlignment w:val="bottom"/>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15</w:t>
            </w:r>
          </w:p>
        </w:tc>
        <w:tc>
          <w:tcPr>
            <w:tcW w:w="2994" w:type="dxa"/>
            <w:shd w:val="clear" w:color="auto" w:fill="C5E0B3" w:themeFill="accent6" w:themeFillTint="66"/>
            <w:vAlign w:val="center"/>
          </w:tcPr>
          <w:p>
            <w:pPr>
              <w:spacing w:line="360" w:lineRule="auto"/>
              <w:jc w:val="center"/>
            </w:pPr>
            <w:r>
              <w:rPr>
                <w:rFonts w:hint="eastAsia" w:asciiTheme="minorEastAsia" w:hAnsiTheme="minorEastAsia" w:eastAsiaTheme="minorEastAsia" w:cstheme="minorEastAsia"/>
                <w:sz w:val="24"/>
                <w:szCs w:val="24"/>
              </w:rPr>
              <w:t>汽车运用与维修</w:t>
            </w:r>
          </w:p>
        </w:tc>
        <w:tc>
          <w:tcPr>
            <w:tcW w:w="3587" w:type="dxa"/>
            <w:shd w:val="clear" w:color="auto" w:fill="C5E0B3" w:themeFill="accent6" w:themeFillTint="66"/>
            <w:vAlign w:val="center"/>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郑州市国防科技学校</w:t>
            </w:r>
          </w:p>
        </w:tc>
        <w:tc>
          <w:tcPr>
            <w:tcW w:w="1332" w:type="dxa"/>
            <w:vMerge w:val="continue"/>
            <w:vAlign w:val="center"/>
          </w:tcPr>
          <w:p>
            <w:pPr>
              <w:widowControl w:val="0"/>
              <w:spacing w:line="360" w:lineRule="auto"/>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88" w:type="dxa"/>
            <w:shd w:val="clear" w:color="auto" w:fill="D9E2F3" w:themeFill="accent5" w:themeFillTint="33"/>
            <w:vAlign w:val="center"/>
          </w:tcPr>
          <w:p>
            <w:pPr>
              <w:spacing w:line="360" w:lineRule="auto"/>
              <w:jc w:val="center"/>
              <w:textAlignment w:val="bottom"/>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bidi="ar"/>
              </w:rPr>
              <w:t>16</w:t>
            </w:r>
          </w:p>
        </w:tc>
        <w:tc>
          <w:tcPr>
            <w:tcW w:w="2994" w:type="dxa"/>
            <w:shd w:val="clear" w:color="auto" w:fill="C5E0B3" w:themeFill="accent6" w:themeFillTint="66"/>
            <w:vAlign w:val="center"/>
          </w:tcPr>
          <w:p>
            <w:pPr>
              <w:spacing w:line="360" w:lineRule="auto"/>
              <w:jc w:val="center"/>
            </w:pPr>
            <w:r>
              <w:rPr>
                <w:rFonts w:hint="eastAsia" w:asciiTheme="minorEastAsia" w:hAnsiTheme="minorEastAsia" w:eastAsiaTheme="minorEastAsia" w:cstheme="minorEastAsia"/>
                <w:sz w:val="24"/>
                <w:szCs w:val="24"/>
              </w:rPr>
              <w:t>楼宇智能化设备安装与运行（智能家居方向）</w:t>
            </w:r>
          </w:p>
        </w:tc>
        <w:tc>
          <w:tcPr>
            <w:tcW w:w="3587" w:type="dxa"/>
            <w:vMerge w:val="restart"/>
            <w:shd w:val="clear" w:color="auto" w:fill="C5E0B3" w:themeFill="accent6" w:themeFillTint="66"/>
            <w:vAlign w:val="center"/>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郑州市电子信息工程学校</w:t>
            </w:r>
          </w:p>
        </w:tc>
        <w:tc>
          <w:tcPr>
            <w:tcW w:w="1332" w:type="dxa"/>
            <w:vMerge w:val="continue"/>
            <w:vAlign w:val="center"/>
          </w:tcPr>
          <w:p>
            <w:pPr>
              <w:widowControl w:val="0"/>
              <w:spacing w:line="360" w:lineRule="auto"/>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88" w:type="dxa"/>
            <w:shd w:val="clear" w:color="auto" w:fill="D9E2F3" w:themeFill="accent5" w:themeFillTint="33"/>
            <w:vAlign w:val="center"/>
          </w:tcPr>
          <w:p>
            <w:pPr>
              <w:spacing w:line="360" w:lineRule="auto"/>
              <w:jc w:val="center"/>
              <w:textAlignment w:val="bottom"/>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bidi="ar"/>
              </w:rPr>
              <w:t>17</w:t>
            </w:r>
          </w:p>
        </w:tc>
        <w:tc>
          <w:tcPr>
            <w:tcW w:w="2994" w:type="dxa"/>
            <w:shd w:val="clear" w:color="auto" w:fill="C5E0B3" w:themeFill="accent6" w:themeFillTint="66"/>
            <w:vAlign w:val="center"/>
          </w:tcPr>
          <w:p>
            <w:pPr>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计算机网络技术</w:t>
            </w:r>
          </w:p>
          <w:p>
            <w:pPr>
              <w:spacing w:line="360" w:lineRule="auto"/>
              <w:jc w:val="center"/>
            </w:pPr>
            <w:r>
              <w:rPr>
                <w:rFonts w:hint="eastAsia" w:asciiTheme="minorEastAsia" w:hAnsiTheme="minorEastAsia" w:eastAsiaTheme="minorEastAsia" w:cstheme="minorEastAsia"/>
                <w:sz w:val="24"/>
                <w:szCs w:val="24"/>
              </w:rPr>
              <w:t>（物联网方向）</w:t>
            </w:r>
          </w:p>
        </w:tc>
        <w:tc>
          <w:tcPr>
            <w:tcW w:w="3587" w:type="dxa"/>
            <w:vMerge w:val="continue"/>
            <w:shd w:val="clear" w:color="auto" w:fill="C5E0B3" w:themeFill="accent6" w:themeFillTint="66"/>
            <w:vAlign w:val="center"/>
          </w:tcPr>
          <w:p>
            <w:pPr>
              <w:widowControl w:val="0"/>
              <w:spacing w:line="360" w:lineRule="auto"/>
              <w:jc w:val="center"/>
              <w:rPr>
                <w:rFonts w:asciiTheme="minorEastAsia" w:hAnsiTheme="minorEastAsia" w:eastAsiaTheme="minorEastAsia" w:cstheme="minorEastAsia"/>
                <w:sz w:val="24"/>
                <w:szCs w:val="24"/>
              </w:rPr>
            </w:pPr>
          </w:p>
        </w:tc>
        <w:tc>
          <w:tcPr>
            <w:tcW w:w="1332" w:type="dxa"/>
            <w:vMerge w:val="continue"/>
            <w:vAlign w:val="center"/>
          </w:tcPr>
          <w:p>
            <w:pPr>
              <w:widowControl w:val="0"/>
              <w:spacing w:line="360" w:lineRule="auto"/>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88" w:type="dxa"/>
            <w:shd w:val="clear" w:color="auto" w:fill="D9E2F3" w:themeFill="accent5" w:themeFillTint="33"/>
            <w:vAlign w:val="center"/>
          </w:tcPr>
          <w:p>
            <w:pPr>
              <w:spacing w:line="360" w:lineRule="auto"/>
              <w:jc w:val="center"/>
              <w:textAlignment w:val="bottom"/>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18</w:t>
            </w:r>
          </w:p>
        </w:tc>
        <w:tc>
          <w:tcPr>
            <w:tcW w:w="2994" w:type="dxa"/>
            <w:shd w:val="clear" w:color="auto" w:fill="C5E0B3" w:themeFill="accent6" w:themeFillTint="66"/>
            <w:vAlign w:val="center"/>
          </w:tcPr>
          <w:p>
            <w:pPr>
              <w:spacing w:line="360" w:lineRule="auto"/>
              <w:jc w:val="center"/>
            </w:pPr>
            <w:r>
              <w:rPr>
                <w:rFonts w:hint="eastAsia" w:asciiTheme="minorEastAsia" w:hAnsiTheme="minorEastAsia" w:eastAsiaTheme="minorEastAsia" w:cstheme="minorEastAsia"/>
                <w:sz w:val="24"/>
                <w:szCs w:val="24"/>
              </w:rPr>
              <w:t>服装设计与工艺</w:t>
            </w:r>
          </w:p>
        </w:tc>
        <w:tc>
          <w:tcPr>
            <w:tcW w:w="3587" w:type="dxa"/>
            <w:vMerge w:val="restart"/>
            <w:shd w:val="clear" w:color="auto" w:fill="C5E0B3" w:themeFill="accent6" w:themeFillTint="66"/>
            <w:vAlign w:val="center"/>
          </w:tcPr>
          <w:p>
            <w:pPr>
              <w:widowControl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郑州市科技工业学校</w:t>
            </w:r>
          </w:p>
        </w:tc>
        <w:tc>
          <w:tcPr>
            <w:tcW w:w="1332" w:type="dxa"/>
            <w:vMerge w:val="continue"/>
            <w:vAlign w:val="center"/>
          </w:tcPr>
          <w:p>
            <w:pPr>
              <w:widowControl w:val="0"/>
              <w:spacing w:line="360" w:lineRule="auto"/>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88" w:type="dxa"/>
            <w:shd w:val="clear" w:color="auto" w:fill="D9E2F3" w:themeFill="accent5" w:themeFillTint="33"/>
            <w:vAlign w:val="center"/>
          </w:tcPr>
          <w:p>
            <w:pPr>
              <w:spacing w:line="360" w:lineRule="auto"/>
              <w:jc w:val="center"/>
              <w:textAlignment w:val="bottom"/>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bidi="ar"/>
              </w:rPr>
              <w:t>19</w:t>
            </w:r>
          </w:p>
        </w:tc>
        <w:tc>
          <w:tcPr>
            <w:tcW w:w="2994" w:type="dxa"/>
            <w:shd w:val="clear" w:color="auto" w:fill="C5E0B3" w:themeFill="accent6" w:themeFillTint="66"/>
            <w:vAlign w:val="center"/>
          </w:tcPr>
          <w:p>
            <w:pPr>
              <w:spacing w:line="360" w:lineRule="auto"/>
              <w:jc w:val="center"/>
            </w:pPr>
            <w:r>
              <w:rPr>
                <w:rFonts w:hint="eastAsia" w:asciiTheme="minorEastAsia" w:hAnsiTheme="minorEastAsia" w:eastAsiaTheme="minorEastAsia" w:cstheme="minorEastAsia"/>
                <w:sz w:val="24"/>
                <w:szCs w:val="24"/>
              </w:rPr>
              <w:t>网络技术</w:t>
            </w:r>
          </w:p>
        </w:tc>
        <w:tc>
          <w:tcPr>
            <w:tcW w:w="3587" w:type="dxa"/>
            <w:vMerge w:val="continue"/>
            <w:shd w:val="clear" w:color="auto" w:fill="C5E0B3" w:themeFill="accent6" w:themeFillTint="66"/>
            <w:vAlign w:val="center"/>
          </w:tcPr>
          <w:p>
            <w:pPr>
              <w:widowControl w:val="0"/>
              <w:spacing w:line="360" w:lineRule="auto"/>
              <w:jc w:val="center"/>
              <w:rPr>
                <w:rFonts w:asciiTheme="minorEastAsia" w:hAnsiTheme="minorEastAsia" w:eastAsiaTheme="minorEastAsia" w:cstheme="minorEastAsia"/>
                <w:sz w:val="24"/>
                <w:szCs w:val="24"/>
              </w:rPr>
            </w:pPr>
          </w:p>
        </w:tc>
        <w:tc>
          <w:tcPr>
            <w:tcW w:w="1332" w:type="dxa"/>
            <w:vMerge w:val="continue"/>
            <w:vAlign w:val="center"/>
          </w:tcPr>
          <w:p>
            <w:pPr>
              <w:widowControl w:val="0"/>
              <w:spacing w:line="360" w:lineRule="auto"/>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shd w:val="clear" w:color="auto" w:fill="D9E2F3" w:themeFill="accent5" w:themeFillTint="33"/>
            <w:vAlign w:val="center"/>
          </w:tcPr>
          <w:p>
            <w:pPr>
              <w:spacing w:line="360" w:lineRule="auto"/>
              <w:jc w:val="center"/>
              <w:textAlignment w:val="bottom"/>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bidi="ar"/>
              </w:rPr>
              <w:t>20</w:t>
            </w:r>
          </w:p>
        </w:tc>
        <w:tc>
          <w:tcPr>
            <w:tcW w:w="2994" w:type="dxa"/>
            <w:shd w:val="clear" w:color="auto" w:fill="C5E0B3" w:themeFill="accent6" w:themeFillTint="66"/>
            <w:vAlign w:val="center"/>
          </w:tcPr>
          <w:p>
            <w:pPr>
              <w:spacing w:line="360" w:lineRule="auto"/>
              <w:jc w:val="center"/>
            </w:pPr>
            <w:r>
              <w:rPr>
                <w:rFonts w:hint="eastAsia" w:asciiTheme="minorEastAsia" w:hAnsiTheme="minorEastAsia" w:eastAsiaTheme="minorEastAsia" w:cstheme="minorEastAsia"/>
                <w:sz w:val="24"/>
                <w:szCs w:val="24"/>
              </w:rPr>
              <w:t>机电技术应用</w:t>
            </w:r>
          </w:p>
        </w:tc>
        <w:tc>
          <w:tcPr>
            <w:tcW w:w="3587" w:type="dxa"/>
            <w:vMerge w:val="restart"/>
            <w:shd w:val="clear" w:color="auto" w:fill="C5E0B3" w:themeFill="accent6" w:themeFillTint="66"/>
            <w:vAlign w:val="center"/>
          </w:tcPr>
          <w:p>
            <w:pPr>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郑州市电子信息工程学校</w:t>
            </w:r>
          </w:p>
        </w:tc>
        <w:tc>
          <w:tcPr>
            <w:tcW w:w="1332" w:type="dxa"/>
            <w:vMerge w:val="restart"/>
            <w:shd w:val="clear" w:color="auto" w:fill="C5E0B3" w:themeFill="accent6" w:themeFillTint="66"/>
            <w:vAlign w:val="center"/>
          </w:tcPr>
          <w:p>
            <w:pPr>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第四批</w:t>
            </w:r>
          </w:p>
          <w:p>
            <w:pPr>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88" w:type="dxa"/>
            <w:shd w:val="clear" w:color="auto" w:fill="D9E2F3" w:themeFill="accent5" w:themeFillTint="33"/>
            <w:vAlign w:val="center"/>
          </w:tcPr>
          <w:p>
            <w:pPr>
              <w:spacing w:line="360" w:lineRule="auto"/>
              <w:jc w:val="center"/>
              <w:textAlignment w:val="bottom"/>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bidi="ar"/>
              </w:rPr>
              <w:t>21</w:t>
            </w:r>
          </w:p>
        </w:tc>
        <w:tc>
          <w:tcPr>
            <w:tcW w:w="2994" w:type="dxa"/>
            <w:shd w:val="clear" w:color="auto" w:fill="C5E0B3" w:themeFill="accent6" w:themeFillTint="66"/>
            <w:vAlign w:val="center"/>
          </w:tcPr>
          <w:p>
            <w:pPr>
              <w:spacing w:line="360" w:lineRule="auto"/>
              <w:jc w:val="center"/>
            </w:pPr>
            <w:r>
              <w:rPr>
                <w:rFonts w:hint="eastAsia" w:asciiTheme="minorEastAsia" w:hAnsiTheme="minorEastAsia" w:eastAsiaTheme="minorEastAsia" w:cstheme="minorEastAsia"/>
                <w:sz w:val="24"/>
                <w:szCs w:val="24"/>
              </w:rPr>
              <w:t>计算机网络技术</w:t>
            </w:r>
          </w:p>
        </w:tc>
        <w:tc>
          <w:tcPr>
            <w:tcW w:w="3587" w:type="dxa"/>
            <w:vMerge w:val="continue"/>
            <w:shd w:val="clear" w:color="auto" w:fill="C5E0B3" w:themeFill="accent6" w:themeFillTint="66"/>
            <w:vAlign w:val="center"/>
          </w:tcPr>
          <w:p>
            <w:pPr>
              <w:spacing w:line="360" w:lineRule="auto"/>
              <w:jc w:val="center"/>
              <w:rPr>
                <w:rFonts w:asciiTheme="minorEastAsia" w:hAnsiTheme="minorEastAsia" w:eastAsiaTheme="minorEastAsia" w:cstheme="minorEastAsia"/>
                <w:sz w:val="24"/>
                <w:szCs w:val="24"/>
              </w:rPr>
            </w:pPr>
          </w:p>
        </w:tc>
        <w:tc>
          <w:tcPr>
            <w:tcW w:w="1332" w:type="dxa"/>
            <w:vMerge w:val="continue"/>
            <w:shd w:val="clear" w:color="auto" w:fill="C5E0B3" w:themeFill="accent6" w:themeFillTint="66"/>
            <w:vAlign w:val="center"/>
          </w:tcPr>
          <w:p>
            <w:pPr>
              <w:spacing w:line="360" w:lineRule="auto"/>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788" w:type="dxa"/>
            <w:shd w:val="clear" w:color="auto" w:fill="D9E2F3" w:themeFill="accent5" w:themeFillTint="33"/>
            <w:vAlign w:val="center"/>
          </w:tcPr>
          <w:p>
            <w:pPr>
              <w:spacing w:line="360" w:lineRule="auto"/>
              <w:jc w:val="center"/>
              <w:textAlignment w:val="bottom"/>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bidi="ar"/>
              </w:rPr>
              <w:t>22</w:t>
            </w:r>
          </w:p>
        </w:tc>
        <w:tc>
          <w:tcPr>
            <w:tcW w:w="2994" w:type="dxa"/>
            <w:shd w:val="clear" w:color="auto" w:fill="C5E0B3" w:themeFill="accent6" w:themeFillTint="66"/>
            <w:vAlign w:val="center"/>
          </w:tcPr>
          <w:p>
            <w:pPr>
              <w:spacing w:line="360" w:lineRule="auto"/>
              <w:jc w:val="center"/>
            </w:pPr>
            <w:r>
              <w:rPr>
                <w:rFonts w:hint="eastAsia" w:asciiTheme="minorEastAsia" w:hAnsiTheme="minorEastAsia" w:eastAsiaTheme="minorEastAsia" w:cstheme="minorEastAsia"/>
                <w:sz w:val="24"/>
                <w:szCs w:val="24"/>
              </w:rPr>
              <w:t>计算机动漫与游戏制作</w:t>
            </w:r>
          </w:p>
        </w:tc>
        <w:tc>
          <w:tcPr>
            <w:tcW w:w="3587" w:type="dxa"/>
            <w:vMerge w:val="continue"/>
            <w:shd w:val="clear" w:color="auto" w:fill="C5E0B3" w:themeFill="accent6" w:themeFillTint="66"/>
            <w:vAlign w:val="center"/>
          </w:tcPr>
          <w:p>
            <w:pPr>
              <w:spacing w:line="360" w:lineRule="auto"/>
              <w:jc w:val="center"/>
              <w:rPr>
                <w:rFonts w:asciiTheme="minorEastAsia" w:hAnsiTheme="minorEastAsia" w:eastAsiaTheme="minorEastAsia" w:cstheme="minorEastAsia"/>
                <w:sz w:val="24"/>
                <w:szCs w:val="24"/>
              </w:rPr>
            </w:pPr>
          </w:p>
        </w:tc>
        <w:tc>
          <w:tcPr>
            <w:tcW w:w="1332" w:type="dxa"/>
            <w:vMerge w:val="continue"/>
            <w:shd w:val="clear" w:color="auto" w:fill="C5E0B3" w:themeFill="accent6" w:themeFillTint="66"/>
            <w:vAlign w:val="center"/>
          </w:tcPr>
          <w:p>
            <w:pPr>
              <w:spacing w:line="360" w:lineRule="auto"/>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88" w:type="dxa"/>
            <w:shd w:val="clear" w:color="auto" w:fill="D9E2F3" w:themeFill="accent5" w:themeFillTint="33"/>
            <w:vAlign w:val="center"/>
          </w:tcPr>
          <w:p>
            <w:pPr>
              <w:spacing w:line="360" w:lineRule="auto"/>
              <w:jc w:val="center"/>
              <w:textAlignment w:val="bottom"/>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bidi="ar"/>
              </w:rPr>
              <w:t>23</w:t>
            </w:r>
          </w:p>
        </w:tc>
        <w:tc>
          <w:tcPr>
            <w:tcW w:w="2994" w:type="dxa"/>
            <w:shd w:val="clear" w:color="auto" w:fill="C5E0B3" w:themeFill="accent6" w:themeFillTint="66"/>
            <w:vAlign w:val="center"/>
          </w:tcPr>
          <w:p>
            <w:pPr>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电子电器应用与维修</w:t>
            </w:r>
          </w:p>
          <w:p>
            <w:pPr>
              <w:spacing w:line="360" w:lineRule="auto"/>
              <w:jc w:val="center"/>
            </w:pPr>
            <w:r>
              <w:rPr>
                <w:rFonts w:hint="eastAsia" w:asciiTheme="minorEastAsia" w:hAnsiTheme="minorEastAsia" w:eastAsiaTheme="minorEastAsia" w:cstheme="minorEastAsia"/>
                <w:sz w:val="24"/>
                <w:szCs w:val="24"/>
              </w:rPr>
              <w:t>（机器人方向）</w:t>
            </w:r>
          </w:p>
        </w:tc>
        <w:tc>
          <w:tcPr>
            <w:tcW w:w="3587" w:type="dxa"/>
            <w:vMerge w:val="restart"/>
            <w:shd w:val="clear" w:color="auto" w:fill="C5E0B3" w:themeFill="accent6" w:themeFillTint="66"/>
            <w:vAlign w:val="center"/>
          </w:tcPr>
          <w:p>
            <w:pPr>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郑州市科技工业学校</w:t>
            </w:r>
          </w:p>
        </w:tc>
        <w:tc>
          <w:tcPr>
            <w:tcW w:w="1332" w:type="dxa"/>
            <w:vMerge w:val="continue"/>
            <w:shd w:val="clear" w:color="auto" w:fill="C5E0B3" w:themeFill="accent6" w:themeFillTint="66"/>
            <w:vAlign w:val="center"/>
          </w:tcPr>
          <w:p>
            <w:pPr>
              <w:spacing w:line="360" w:lineRule="auto"/>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shd w:val="clear" w:color="auto" w:fill="D9E2F3" w:themeFill="accent5" w:themeFillTint="33"/>
            <w:vAlign w:val="center"/>
          </w:tcPr>
          <w:p>
            <w:pPr>
              <w:spacing w:line="360" w:lineRule="auto"/>
              <w:jc w:val="center"/>
              <w:textAlignment w:val="bottom"/>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bidi="ar"/>
              </w:rPr>
              <w:t>24</w:t>
            </w:r>
          </w:p>
        </w:tc>
        <w:tc>
          <w:tcPr>
            <w:tcW w:w="2994" w:type="dxa"/>
            <w:shd w:val="clear" w:color="auto" w:fill="C5E0B3" w:themeFill="accent6" w:themeFillTint="66"/>
            <w:vAlign w:val="center"/>
          </w:tcPr>
          <w:p>
            <w:pPr>
              <w:spacing w:line="360" w:lineRule="auto"/>
              <w:jc w:val="center"/>
            </w:pPr>
            <w:r>
              <w:rPr>
                <w:rFonts w:hint="eastAsia" w:asciiTheme="minorEastAsia" w:hAnsiTheme="minorEastAsia" w:eastAsiaTheme="minorEastAsia" w:cstheme="minorEastAsia"/>
                <w:sz w:val="24"/>
                <w:szCs w:val="24"/>
              </w:rPr>
              <w:t>电子商务</w:t>
            </w:r>
          </w:p>
        </w:tc>
        <w:tc>
          <w:tcPr>
            <w:tcW w:w="3587" w:type="dxa"/>
            <w:vMerge w:val="continue"/>
            <w:shd w:val="clear" w:color="auto" w:fill="C5E0B3" w:themeFill="accent6" w:themeFillTint="66"/>
            <w:vAlign w:val="center"/>
          </w:tcPr>
          <w:p>
            <w:pPr>
              <w:spacing w:line="360" w:lineRule="auto"/>
              <w:jc w:val="center"/>
              <w:rPr>
                <w:rFonts w:asciiTheme="minorEastAsia" w:hAnsiTheme="minorEastAsia" w:eastAsiaTheme="minorEastAsia" w:cstheme="minorEastAsia"/>
                <w:sz w:val="24"/>
                <w:szCs w:val="24"/>
              </w:rPr>
            </w:pPr>
          </w:p>
        </w:tc>
        <w:tc>
          <w:tcPr>
            <w:tcW w:w="1332" w:type="dxa"/>
            <w:vMerge w:val="continue"/>
            <w:shd w:val="clear" w:color="auto" w:fill="C5E0B3" w:themeFill="accent6" w:themeFillTint="66"/>
            <w:vAlign w:val="center"/>
          </w:tcPr>
          <w:p>
            <w:pPr>
              <w:spacing w:line="360" w:lineRule="auto"/>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788" w:type="dxa"/>
            <w:shd w:val="clear" w:color="auto" w:fill="D9E2F3" w:themeFill="accent5" w:themeFillTint="33"/>
            <w:vAlign w:val="center"/>
          </w:tcPr>
          <w:p>
            <w:pPr>
              <w:spacing w:line="360" w:lineRule="auto"/>
              <w:jc w:val="center"/>
              <w:textAlignment w:val="bottom"/>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bidi="ar"/>
              </w:rPr>
              <w:t>25</w:t>
            </w:r>
          </w:p>
        </w:tc>
        <w:tc>
          <w:tcPr>
            <w:tcW w:w="2994" w:type="dxa"/>
            <w:shd w:val="clear" w:color="auto" w:fill="C5E0B3" w:themeFill="accent6" w:themeFillTint="66"/>
            <w:vAlign w:val="center"/>
          </w:tcPr>
          <w:p>
            <w:pPr>
              <w:spacing w:line="360" w:lineRule="auto"/>
              <w:jc w:val="center"/>
            </w:pPr>
            <w:r>
              <w:rPr>
                <w:rFonts w:hint="eastAsia" w:asciiTheme="minorEastAsia" w:hAnsiTheme="minorEastAsia" w:eastAsiaTheme="minorEastAsia" w:cstheme="minorEastAsia"/>
                <w:sz w:val="24"/>
                <w:szCs w:val="24"/>
              </w:rPr>
              <w:t>计算机网络技术</w:t>
            </w:r>
          </w:p>
        </w:tc>
        <w:tc>
          <w:tcPr>
            <w:tcW w:w="3587" w:type="dxa"/>
            <w:vMerge w:val="continue"/>
            <w:shd w:val="clear" w:color="auto" w:fill="C5E0B3" w:themeFill="accent6" w:themeFillTint="66"/>
            <w:vAlign w:val="center"/>
          </w:tcPr>
          <w:p>
            <w:pPr>
              <w:spacing w:line="360" w:lineRule="auto"/>
              <w:jc w:val="center"/>
              <w:rPr>
                <w:rFonts w:asciiTheme="minorEastAsia" w:hAnsiTheme="minorEastAsia" w:eastAsiaTheme="minorEastAsia" w:cstheme="minorEastAsia"/>
                <w:sz w:val="24"/>
                <w:szCs w:val="24"/>
              </w:rPr>
            </w:pPr>
          </w:p>
        </w:tc>
        <w:tc>
          <w:tcPr>
            <w:tcW w:w="1332" w:type="dxa"/>
            <w:vMerge w:val="continue"/>
            <w:shd w:val="clear" w:color="auto" w:fill="C5E0B3" w:themeFill="accent6" w:themeFillTint="66"/>
            <w:vAlign w:val="center"/>
          </w:tcPr>
          <w:p>
            <w:pPr>
              <w:spacing w:line="360" w:lineRule="auto"/>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88" w:type="dxa"/>
            <w:shd w:val="clear" w:color="auto" w:fill="D9E2F3" w:themeFill="accent5" w:themeFillTint="33"/>
            <w:vAlign w:val="center"/>
          </w:tcPr>
          <w:p>
            <w:pPr>
              <w:spacing w:line="360" w:lineRule="auto"/>
              <w:jc w:val="center"/>
              <w:textAlignment w:val="bottom"/>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bidi="ar"/>
              </w:rPr>
              <w:t>26</w:t>
            </w:r>
          </w:p>
        </w:tc>
        <w:tc>
          <w:tcPr>
            <w:tcW w:w="2994" w:type="dxa"/>
            <w:shd w:val="clear" w:color="auto" w:fill="C5E0B3" w:themeFill="accent6" w:themeFillTint="66"/>
            <w:vAlign w:val="center"/>
          </w:tcPr>
          <w:p>
            <w:pPr>
              <w:spacing w:line="360" w:lineRule="auto"/>
              <w:jc w:val="center"/>
            </w:pPr>
            <w:r>
              <w:rPr>
                <w:rFonts w:hint="eastAsia" w:asciiTheme="minorEastAsia" w:hAnsiTheme="minorEastAsia" w:eastAsiaTheme="minorEastAsia" w:cstheme="minorEastAsia"/>
                <w:sz w:val="24"/>
                <w:szCs w:val="24"/>
              </w:rPr>
              <w:t>机电技术应用</w:t>
            </w:r>
          </w:p>
        </w:tc>
        <w:tc>
          <w:tcPr>
            <w:tcW w:w="3587" w:type="dxa"/>
            <w:vMerge w:val="restart"/>
            <w:shd w:val="clear" w:color="auto" w:fill="C5E0B3" w:themeFill="accent6" w:themeFillTint="66"/>
            <w:vAlign w:val="center"/>
          </w:tcPr>
          <w:p>
            <w:pPr>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郑州市国防科技学校</w:t>
            </w:r>
          </w:p>
        </w:tc>
        <w:tc>
          <w:tcPr>
            <w:tcW w:w="1332" w:type="dxa"/>
            <w:vMerge w:val="continue"/>
            <w:shd w:val="clear" w:color="auto" w:fill="C5E0B3" w:themeFill="accent6" w:themeFillTint="66"/>
            <w:vAlign w:val="center"/>
          </w:tcPr>
          <w:p>
            <w:pPr>
              <w:spacing w:line="360" w:lineRule="auto"/>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788" w:type="dxa"/>
            <w:shd w:val="clear" w:color="auto" w:fill="D9E2F3" w:themeFill="accent5" w:themeFillTint="33"/>
            <w:vAlign w:val="center"/>
          </w:tcPr>
          <w:p>
            <w:pPr>
              <w:spacing w:line="360" w:lineRule="auto"/>
              <w:jc w:val="center"/>
              <w:textAlignment w:val="bottom"/>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bidi="ar"/>
              </w:rPr>
              <w:t>27</w:t>
            </w:r>
          </w:p>
        </w:tc>
        <w:tc>
          <w:tcPr>
            <w:tcW w:w="2994" w:type="dxa"/>
            <w:shd w:val="clear" w:color="auto" w:fill="C5E0B3" w:themeFill="accent6" w:themeFillTint="66"/>
            <w:vAlign w:val="center"/>
          </w:tcPr>
          <w:p>
            <w:pPr>
              <w:spacing w:line="360" w:lineRule="auto"/>
              <w:jc w:val="center"/>
            </w:pPr>
            <w:r>
              <w:rPr>
                <w:rFonts w:hint="eastAsia" w:asciiTheme="minorEastAsia" w:hAnsiTheme="minorEastAsia" w:eastAsiaTheme="minorEastAsia" w:cstheme="minorEastAsia"/>
                <w:sz w:val="24"/>
                <w:szCs w:val="24"/>
              </w:rPr>
              <w:t>汽车运用与维修</w:t>
            </w:r>
          </w:p>
        </w:tc>
        <w:tc>
          <w:tcPr>
            <w:tcW w:w="3587" w:type="dxa"/>
            <w:vMerge w:val="continue"/>
            <w:shd w:val="clear" w:color="auto" w:fill="C5E0B3" w:themeFill="accent6" w:themeFillTint="66"/>
            <w:vAlign w:val="center"/>
          </w:tcPr>
          <w:p>
            <w:pPr>
              <w:spacing w:line="360" w:lineRule="auto"/>
              <w:jc w:val="center"/>
              <w:rPr>
                <w:rFonts w:asciiTheme="minorEastAsia" w:hAnsiTheme="minorEastAsia" w:eastAsiaTheme="minorEastAsia" w:cstheme="minorEastAsia"/>
                <w:sz w:val="24"/>
                <w:szCs w:val="24"/>
              </w:rPr>
            </w:pPr>
          </w:p>
        </w:tc>
        <w:tc>
          <w:tcPr>
            <w:tcW w:w="1332" w:type="dxa"/>
            <w:vMerge w:val="continue"/>
            <w:shd w:val="clear" w:color="auto" w:fill="C5E0B3" w:themeFill="accent6" w:themeFillTint="66"/>
            <w:vAlign w:val="center"/>
          </w:tcPr>
          <w:p>
            <w:pPr>
              <w:spacing w:line="360" w:lineRule="auto"/>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788" w:type="dxa"/>
            <w:shd w:val="clear" w:color="auto" w:fill="D9E2F3" w:themeFill="accent5" w:themeFillTint="33"/>
            <w:vAlign w:val="center"/>
          </w:tcPr>
          <w:p>
            <w:pPr>
              <w:spacing w:line="360" w:lineRule="auto"/>
              <w:jc w:val="center"/>
              <w:textAlignment w:val="bottom"/>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bidi="ar"/>
              </w:rPr>
              <w:t>28</w:t>
            </w:r>
          </w:p>
        </w:tc>
        <w:tc>
          <w:tcPr>
            <w:tcW w:w="2994" w:type="dxa"/>
            <w:shd w:val="clear" w:color="auto" w:fill="C5E0B3" w:themeFill="accent6" w:themeFillTint="66"/>
            <w:vAlign w:val="center"/>
          </w:tcPr>
          <w:p>
            <w:pPr>
              <w:spacing w:line="360" w:lineRule="auto"/>
              <w:jc w:val="center"/>
            </w:pPr>
            <w:r>
              <w:rPr>
                <w:rFonts w:hint="eastAsia" w:asciiTheme="minorEastAsia" w:hAnsiTheme="minorEastAsia" w:eastAsiaTheme="minorEastAsia" w:cstheme="minorEastAsia"/>
                <w:sz w:val="24"/>
                <w:szCs w:val="24"/>
              </w:rPr>
              <w:t>计算机运用</w:t>
            </w:r>
          </w:p>
        </w:tc>
        <w:tc>
          <w:tcPr>
            <w:tcW w:w="3587" w:type="dxa"/>
            <w:vMerge w:val="continue"/>
            <w:shd w:val="clear" w:color="auto" w:fill="C5E0B3" w:themeFill="accent6" w:themeFillTint="66"/>
            <w:vAlign w:val="center"/>
          </w:tcPr>
          <w:p>
            <w:pPr>
              <w:spacing w:line="360" w:lineRule="auto"/>
              <w:jc w:val="center"/>
              <w:rPr>
                <w:rFonts w:asciiTheme="minorEastAsia" w:hAnsiTheme="minorEastAsia" w:eastAsiaTheme="minorEastAsia" w:cstheme="minorEastAsia"/>
                <w:sz w:val="24"/>
                <w:szCs w:val="24"/>
              </w:rPr>
            </w:pPr>
          </w:p>
        </w:tc>
        <w:tc>
          <w:tcPr>
            <w:tcW w:w="1332" w:type="dxa"/>
            <w:vMerge w:val="continue"/>
            <w:shd w:val="clear" w:color="auto" w:fill="C5E0B3" w:themeFill="accent6" w:themeFillTint="66"/>
            <w:vAlign w:val="center"/>
          </w:tcPr>
          <w:p>
            <w:pPr>
              <w:spacing w:line="360" w:lineRule="auto"/>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788" w:type="dxa"/>
            <w:shd w:val="clear" w:color="auto" w:fill="D9E2F3" w:themeFill="accent5" w:themeFillTint="33"/>
            <w:vAlign w:val="center"/>
          </w:tcPr>
          <w:p>
            <w:pPr>
              <w:spacing w:line="360" w:lineRule="auto"/>
              <w:jc w:val="center"/>
              <w:textAlignment w:val="bottom"/>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bidi="ar"/>
              </w:rPr>
              <w:t>29</w:t>
            </w:r>
          </w:p>
        </w:tc>
        <w:tc>
          <w:tcPr>
            <w:tcW w:w="2994" w:type="dxa"/>
            <w:shd w:val="clear" w:color="auto" w:fill="C5E0B3" w:themeFill="accent6" w:themeFillTint="66"/>
            <w:vAlign w:val="center"/>
          </w:tcPr>
          <w:p>
            <w:pPr>
              <w:spacing w:line="360" w:lineRule="auto"/>
              <w:jc w:val="center"/>
            </w:pPr>
            <w:r>
              <w:rPr>
                <w:rFonts w:hint="eastAsia" w:asciiTheme="minorEastAsia" w:hAnsiTheme="minorEastAsia" w:eastAsiaTheme="minorEastAsia" w:cstheme="minorEastAsia"/>
                <w:sz w:val="24"/>
                <w:szCs w:val="24"/>
              </w:rPr>
              <w:t>汽车运用与维修</w:t>
            </w:r>
          </w:p>
        </w:tc>
        <w:tc>
          <w:tcPr>
            <w:tcW w:w="3587" w:type="dxa"/>
            <w:vMerge w:val="restart"/>
            <w:shd w:val="clear" w:color="auto" w:fill="C5E0B3" w:themeFill="accent6" w:themeFillTint="66"/>
            <w:vAlign w:val="center"/>
          </w:tcPr>
          <w:p>
            <w:pPr>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郑州城轨交通中等专业学校</w:t>
            </w:r>
          </w:p>
        </w:tc>
        <w:tc>
          <w:tcPr>
            <w:tcW w:w="1332" w:type="dxa"/>
            <w:vMerge w:val="continue"/>
            <w:shd w:val="clear" w:color="auto" w:fill="C5E0B3" w:themeFill="accent6" w:themeFillTint="66"/>
            <w:vAlign w:val="center"/>
          </w:tcPr>
          <w:p>
            <w:pPr>
              <w:spacing w:line="360" w:lineRule="auto"/>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88" w:type="dxa"/>
            <w:shd w:val="clear" w:color="auto" w:fill="D9E2F3" w:themeFill="accent5" w:themeFillTint="33"/>
            <w:vAlign w:val="center"/>
          </w:tcPr>
          <w:p>
            <w:pPr>
              <w:spacing w:line="360" w:lineRule="auto"/>
              <w:jc w:val="center"/>
              <w:textAlignment w:val="bottom"/>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bidi="ar"/>
              </w:rPr>
              <w:t>30</w:t>
            </w:r>
          </w:p>
        </w:tc>
        <w:tc>
          <w:tcPr>
            <w:tcW w:w="2994" w:type="dxa"/>
            <w:shd w:val="clear" w:color="auto" w:fill="C5E0B3" w:themeFill="accent6" w:themeFillTint="66"/>
            <w:vAlign w:val="center"/>
          </w:tcPr>
          <w:p>
            <w:pPr>
              <w:spacing w:line="360" w:lineRule="auto"/>
              <w:jc w:val="center"/>
            </w:pPr>
            <w:r>
              <w:rPr>
                <w:rFonts w:hint="eastAsia" w:asciiTheme="minorEastAsia" w:hAnsiTheme="minorEastAsia" w:eastAsiaTheme="minorEastAsia" w:cstheme="minorEastAsia"/>
                <w:sz w:val="24"/>
                <w:szCs w:val="24"/>
              </w:rPr>
              <w:t>城市轨道交通供电</w:t>
            </w:r>
          </w:p>
        </w:tc>
        <w:tc>
          <w:tcPr>
            <w:tcW w:w="3587" w:type="dxa"/>
            <w:vMerge w:val="continue"/>
            <w:shd w:val="clear" w:color="auto" w:fill="C5E0B3" w:themeFill="accent6" w:themeFillTint="66"/>
            <w:vAlign w:val="center"/>
          </w:tcPr>
          <w:p>
            <w:pPr>
              <w:spacing w:line="360" w:lineRule="auto"/>
              <w:jc w:val="center"/>
              <w:rPr>
                <w:rFonts w:asciiTheme="minorEastAsia" w:hAnsiTheme="minorEastAsia" w:eastAsiaTheme="minorEastAsia" w:cstheme="minorEastAsia"/>
                <w:sz w:val="24"/>
                <w:szCs w:val="24"/>
              </w:rPr>
            </w:pPr>
          </w:p>
        </w:tc>
        <w:tc>
          <w:tcPr>
            <w:tcW w:w="1332" w:type="dxa"/>
            <w:vMerge w:val="continue"/>
            <w:shd w:val="clear" w:color="auto" w:fill="C5E0B3" w:themeFill="accent6" w:themeFillTint="66"/>
            <w:vAlign w:val="center"/>
          </w:tcPr>
          <w:p>
            <w:pPr>
              <w:spacing w:line="360" w:lineRule="auto"/>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88" w:type="dxa"/>
            <w:shd w:val="clear" w:color="auto" w:fill="D9E2F3" w:themeFill="accent5" w:themeFillTint="33"/>
            <w:vAlign w:val="center"/>
          </w:tcPr>
          <w:p>
            <w:pPr>
              <w:spacing w:line="360" w:lineRule="auto"/>
              <w:jc w:val="center"/>
              <w:textAlignment w:val="bottom"/>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bidi="ar"/>
              </w:rPr>
              <w:t>31</w:t>
            </w:r>
          </w:p>
        </w:tc>
        <w:tc>
          <w:tcPr>
            <w:tcW w:w="2994" w:type="dxa"/>
            <w:shd w:val="clear" w:color="auto" w:fill="C5E0B3" w:themeFill="accent6" w:themeFillTint="66"/>
            <w:vAlign w:val="center"/>
          </w:tcPr>
          <w:p>
            <w:pPr>
              <w:spacing w:line="360" w:lineRule="auto"/>
              <w:jc w:val="center"/>
            </w:pPr>
            <w:r>
              <w:rPr>
                <w:rFonts w:hint="eastAsia" w:asciiTheme="minorEastAsia" w:hAnsiTheme="minorEastAsia" w:eastAsiaTheme="minorEastAsia" w:cstheme="minorEastAsia"/>
                <w:sz w:val="24"/>
                <w:szCs w:val="24"/>
              </w:rPr>
              <w:t>城市轨道交通运营管理</w:t>
            </w:r>
          </w:p>
        </w:tc>
        <w:tc>
          <w:tcPr>
            <w:tcW w:w="3587" w:type="dxa"/>
            <w:vMerge w:val="continue"/>
            <w:shd w:val="clear" w:color="auto" w:fill="C5E0B3" w:themeFill="accent6" w:themeFillTint="66"/>
            <w:vAlign w:val="center"/>
          </w:tcPr>
          <w:p>
            <w:pPr>
              <w:spacing w:line="360" w:lineRule="auto"/>
              <w:jc w:val="center"/>
              <w:rPr>
                <w:rFonts w:asciiTheme="minorEastAsia" w:hAnsiTheme="minorEastAsia" w:eastAsiaTheme="minorEastAsia" w:cstheme="minorEastAsia"/>
                <w:sz w:val="24"/>
                <w:szCs w:val="24"/>
              </w:rPr>
            </w:pPr>
          </w:p>
        </w:tc>
        <w:tc>
          <w:tcPr>
            <w:tcW w:w="1332" w:type="dxa"/>
            <w:vMerge w:val="continue"/>
            <w:shd w:val="clear" w:color="auto" w:fill="C5E0B3" w:themeFill="accent6" w:themeFillTint="66"/>
            <w:vAlign w:val="center"/>
          </w:tcPr>
          <w:p>
            <w:pPr>
              <w:spacing w:line="360" w:lineRule="auto"/>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88" w:type="dxa"/>
            <w:shd w:val="clear" w:color="auto" w:fill="D9E2F3" w:themeFill="accent5" w:themeFillTint="33"/>
            <w:vAlign w:val="center"/>
          </w:tcPr>
          <w:p>
            <w:pPr>
              <w:spacing w:line="360" w:lineRule="auto"/>
              <w:jc w:val="center"/>
              <w:textAlignment w:val="bottom"/>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bidi="ar"/>
              </w:rPr>
              <w:t>32</w:t>
            </w:r>
          </w:p>
        </w:tc>
        <w:tc>
          <w:tcPr>
            <w:tcW w:w="2994" w:type="dxa"/>
            <w:shd w:val="clear" w:color="auto" w:fill="C5E0B3" w:themeFill="accent6" w:themeFillTint="66"/>
            <w:vAlign w:val="center"/>
          </w:tcPr>
          <w:p>
            <w:pPr>
              <w:spacing w:line="360" w:lineRule="auto"/>
              <w:jc w:val="center"/>
            </w:pPr>
            <w:r>
              <w:rPr>
                <w:rFonts w:hint="eastAsia" w:asciiTheme="minorEastAsia" w:hAnsiTheme="minorEastAsia" w:eastAsiaTheme="minorEastAsia" w:cstheme="minorEastAsia"/>
                <w:sz w:val="24"/>
                <w:szCs w:val="24"/>
              </w:rPr>
              <w:t>机电技术应用</w:t>
            </w:r>
          </w:p>
        </w:tc>
        <w:tc>
          <w:tcPr>
            <w:tcW w:w="3587" w:type="dxa"/>
            <w:vMerge w:val="continue"/>
            <w:shd w:val="clear" w:color="auto" w:fill="C5E0B3" w:themeFill="accent6" w:themeFillTint="66"/>
            <w:vAlign w:val="center"/>
          </w:tcPr>
          <w:p>
            <w:pPr>
              <w:spacing w:line="360" w:lineRule="auto"/>
              <w:jc w:val="center"/>
              <w:rPr>
                <w:rFonts w:asciiTheme="minorEastAsia" w:hAnsiTheme="minorEastAsia" w:eastAsiaTheme="minorEastAsia" w:cstheme="minorEastAsia"/>
                <w:sz w:val="24"/>
                <w:szCs w:val="24"/>
              </w:rPr>
            </w:pPr>
          </w:p>
        </w:tc>
        <w:tc>
          <w:tcPr>
            <w:tcW w:w="1332" w:type="dxa"/>
            <w:vMerge w:val="continue"/>
            <w:shd w:val="clear" w:color="auto" w:fill="C5E0B3" w:themeFill="accent6" w:themeFillTint="66"/>
            <w:vAlign w:val="center"/>
          </w:tcPr>
          <w:p>
            <w:pPr>
              <w:spacing w:line="360" w:lineRule="auto"/>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88" w:type="dxa"/>
            <w:shd w:val="clear" w:color="auto" w:fill="D9E2F3" w:themeFill="accent5" w:themeFillTint="33"/>
            <w:vAlign w:val="center"/>
          </w:tcPr>
          <w:p>
            <w:pPr>
              <w:spacing w:line="360" w:lineRule="auto"/>
              <w:jc w:val="center"/>
              <w:textAlignment w:val="bottom"/>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bidi="ar"/>
              </w:rPr>
              <w:t>33</w:t>
            </w:r>
          </w:p>
        </w:tc>
        <w:tc>
          <w:tcPr>
            <w:tcW w:w="2994" w:type="dxa"/>
            <w:shd w:val="clear" w:color="auto" w:fill="C5E0B3" w:themeFill="accent6" w:themeFillTint="66"/>
            <w:vAlign w:val="center"/>
          </w:tcPr>
          <w:p>
            <w:pPr>
              <w:spacing w:line="360" w:lineRule="auto"/>
              <w:jc w:val="center"/>
            </w:pPr>
            <w:r>
              <w:rPr>
                <w:rFonts w:hint="eastAsia" w:asciiTheme="minorEastAsia" w:hAnsiTheme="minorEastAsia" w:eastAsiaTheme="minorEastAsia" w:cstheme="minorEastAsia"/>
                <w:sz w:val="24"/>
                <w:szCs w:val="24"/>
              </w:rPr>
              <w:t>物流服务与管理</w:t>
            </w:r>
          </w:p>
        </w:tc>
        <w:tc>
          <w:tcPr>
            <w:tcW w:w="3587" w:type="dxa"/>
            <w:vMerge w:val="restart"/>
            <w:shd w:val="clear" w:color="auto" w:fill="C5E0B3" w:themeFill="accent6" w:themeFillTint="66"/>
            <w:vAlign w:val="center"/>
          </w:tcPr>
          <w:p>
            <w:pPr>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郑州市金融学校</w:t>
            </w:r>
          </w:p>
        </w:tc>
        <w:tc>
          <w:tcPr>
            <w:tcW w:w="1332" w:type="dxa"/>
            <w:vMerge w:val="continue"/>
            <w:shd w:val="clear" w:color="auto" w:fill="C5E0B3" w:themeFill="accent6" w:themeFillTint="66"/>
            <w:vAlign w:val="center"/>
          </w:tcPr>
          <w:p>
            <w:pPr>
              <w:spacing w:line="360" w:lineRule="auto"/>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88" w:type="dxa"/>
            <w:shd w:val="clear" w:color="auto" w:fill="D9E2F3" w:themeFill="accent5" w:themeFillTint="33"/>
            <w:vAlign w:val="center"/>
          </w:tcPr>
          <w:p>
            <w:pPr>
              <w:spacing w:line="360" w:lineRule="auto"/>
              <w:jc w:val="center"/>
              <w:textAlignment w:val="bottom"/>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bidi="ar"/>
              </w:rPr>
              <w:t>34</w:t>
            </w:r>
          </w:p>
        </w:tc>
        <w:tc>
          <w:tcPr>
            <w:tcW w:w="2994" w:type="dxa"/>
            <w:shd w:val="clear" w:color="auto" w:fill="C5E0B3" w:themeFill="accent6" w:themeFillTint="66"/>
            <w:vAlign w:val="center"/>
          </w:tcPr>
          <w:p>
            <w:pPr>
              <w:spacing w:line="360" w:lineRule="auto"/>
              <w:jc w:val="center"/>
            </w:pPr>
            <w:r>
              <w:rPr>
                <w:rFonts w:hint="eastAsia" w:asciiTheme="minorEastAsia" w:hAnsiTheme="minorEastAsia" w:eastAsiaTheme="minorEastAsia" w:cstheme="minorEastAsia"/>
                <w:sz w:val="24"/>
                <w:szCs w:val="24"/>
              </w:rPr>
              <w:t>会计电算化</w:t>
            </w:r>
          </w:p>
        </w:tc>
        <w:tc>
          <w:tcPr>
            <w:tcW w:w="3587" w:type="dxa"/>
            <w:vMerge w:val="continue"/>
            <w:shd w:val="clear" w:color="auto" w:fill="C5E0B3" w:themeFill="accent6" w:themeFillTint="66"/>
            <w:vAlign w:val="center"/>
          </w:tcPr>
          <w:p>
            <w:pPr>
              <w:spacing w:line="360" w:lineRule="auto"/>
              <w:jc w:val="center"/>
              <w:rPr>
                <w:rFonts w:asciiTheme="minorEastAsia" w:hAnsiTheme="minorEastAsia" w:eastAsiaTheme="minorEastAsia" w:cstheme="minorEastAsia"/>
                <w:sz w:val="24"/>
                <w:szCs w:val="24"/>
              </w:rPr>
            </w:pPr>
          </w:p>
        </w:tc>
        <w:tc>
          <w:tcPr>
            <w:tcW w:w="1332" w:type="dxa"/>
            <w:vMerge w:val="continue"/>
            <w:shd w:val="clear" w:color="auto" w:fill="C5E0B3" w:themeFill="accent6" w:themeFillTint="66"/>
            <w:vAlign w:val="center"/>
          </w:tcPr>
          <w:p>
            <w:pPr>
              <w:spacing w:line="360" w:lineRule="auto"/>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88" w:type="dxa"/>
            <w:shd w:val="clear" w:color="auto" w:fill="D9E2F3" w:themeFill="accent5" w:themeFillTint="33"/>
            <w:vAlign w:val="center"/>
          </w:tcPr>
          <w:p>
            <w:pPr>
              <w:spacing w:line="360" w:lineRule="auto"/>
              <w:jc w:val="center"/>
              <w:textAlignment w:val="bottom"/>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bidi="ar"/>
              </w:rPr>
              <w:t>35</w:t>
            </w:r>
          </w:p>
        </w:tc>
        <w:tc>
          <w:tcPr>
            <w:tcW w:w="2994" w:type="dxa"/>
            <w:shd w:val="clear" w:color="auto" w:fill="C5E0B3" w:themeFill="accent6" w:themeFillTint="66"/>
            <w:vAlign w:val="center"/>
          </w:tcPr>
          <w:p>
            <w:pPr>
              <w:spacing w:line="360" w:lineRule="auto"/>
              <w:jc w:val="center"/>
            </w:pPr>
            <w:r>
              <w:rPr>
                <w:rFonts w:hint="eastAsia" w:asciiTheme="minorEastAsia" w:hAnsiTheme="minorEastAsia" w:eastAsiaTheme="minorEastAsia" w:cstheme="minorEastAsia"/>
                <w:sz w:val="24"/>
                <w:szCs w:val="24"/>
              </w:rPr>
              <w:t>建筑工程施工</w:t>
            </w:r>
          </w:p>
        </w:tc>
        <w:tc>
          <w:tcPr>
            <w:tcW w:w="3587" w:type="dxa"/>
            <w:vMerge w:val="restart"/>
            <w:shd w:val="clear" w:color="auto" w:fill="C5E0B3" w:themeFill="accent6" w:themeFillTint="66"/>
            <w:vAlign w:val="center"/>
          </w:tcPr>
          <w:p>
            <w:pPr>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郑州机电工程学校</w:t>
            </w:r>
          </w:p>
        </w:tc>
        <w:tc>
          <w:tcPr>
            <w:tcW w:w="1332" w:type="dxa"/>
            <w:vMerge w:val="continue"/>
            <w:shd w:val="clear" w:color="auto" w:fill="C5E0B3" w:themeFill="accent6" w:themeFillTint="66"/>
            <w:vAlign w:val="center"/>
          </w:tcPr>
          <w:p>
            <w:pPr>
              <w:spacing w:line="360" w:lineRule="auto"/>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88" w:type="dxa"/>
            <w:shd w:val="clear" w:color="auto" w:fill="D9E2F3" w:themeFill="accent5" w:themeFillTint="33"/>
            <w:vAlign w:val="center"/>
          </w:tcPr>
          <w:p>
            <w:pPr>
              <w:spacing w:line="360" w:lineRule="auto"/>
              <w:jc w:val="center"/>
              <w:textAlignment w:val="bottom"/>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bidi="ar"/>
              </w:rPr>
              <w:t>36</w:t>
            </w:r>
          </w:p>
        </w:tc>
        <w:tc>
          <w:tcPr>
            <w:tcW w:w="2994" w:type="dxa"/>
            <w:shd w:val="clear" w:color="auto" w:fill="C5E0B3" w:themeFill="accent6" w:themeFillTint="66"/>
            <w:vAlign w:val="center"/>
          </w:tcPr>
          <w:p>
            <w:pPr>
              <w:spacing w:line="360" w:lineRule="auto"/>
              <w:jc w:val="center"/>
            </w:pPr>
            <w:r>
              <w:rPr>
                <w:rFonts w:hint="eastAsia" w:asciiTheme="minorEastAsia" w:hAnsiTheme="minorEastAsia" w:eastAsiaTheme="minorEastAsia" w:cstheme="minorEastAsia"/>
                <w:sz w:val="24"/>
                <w:szCs w:val="24"/>
              </w:rPr>
              <w:t>汽车运用与维修</w:t>
            </w:r>
          </w:p>
        </w:tc>
        <w:tc>
          <w:tcPr>
            <w:tcW w:w="3587" w:type="dxa"/>
            <w:vMerge w:val="continue"/>
            <w:shd w:val="clear" w:color="auto" w:fill="C5E0B3" w:themeFill="accent6" w:themeFillTint="66"/>
            <w:vAlign w:val="center"/>
          </w:tcPr>
          <w:p>
            <w:pPr>
              <w:spacing w:line="360" w:lineRule="auto"/>
              <w:jc w:val="center"/>
              <w:rPr>
                <w:rFonts w:asciiTheme="minorEastAsia" w:hAnsiTheme="minorEastAsia" w:eastAsiaTheme="minorEastAsia" w:cstheme="minorEastAsia"/>
                <w:sz w:val="24"/>
                <w:szCs w:val="24"/>
              </w:rPr>
            </w:pPr>
          </w:p>
        </w:tc>
        <w:tc>
          <w:tcPr>
            <w:tcW w:w="1332" w:type="dxa"/>
            <w:vMerge w:val="continue"/>
            <w:shd w:val="clear" w:color="auto" w:fill="C5E0B3" w:themeFill="accent6" w:themeFillTint="66"/>
            <w:vAlign w:val="center"/>
          </w:tcPr>
          <w:p>
            <w:pPr>
              <w:spacing w:line="360" w:lineRule="auto"/>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88" w:type="dxa"/>
            <w:shd w:val="clear" w:color="auto" w:fill="D9E2F3" w:themeFill="accent5" w:themeFillTint="33"/>
            <w:vAlign w:val="center"/>
          </w:tcPr>
          <w:p>
            <w:pPr>
              <w:spacing w:line="360" w:lineRule="auto"/>
              <w:jc w:val="center"/>
              <w:textAlignment w:val="bottom"/>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bidi="ar"/>
              </w:rPr>
              <w:t>37</w:t>
            </w:r>
          </w:p>
        </w:tc>
        <w:tc>
          <w:tcPr>
            <w:tcW w:w="2994" w:type="dxa"/>
            <w:shd w:val="clear" w:color="auto" w:fill="C5E0B3" w:themeFill="accent6" w:themeFillTint="66"/>
            <w:vAlign w:val="center"/>
          </w:tcPr>
          <w:p>
            <w:pPr>
              <w:spacing w:line="360" w:lineRule="auto"/>
              <w:jc w:val="center"/>
            </w:pPr>
            <w:r>
              <w:rPr>
                <w:rFonts w:hint="eastAsia" w:asciiTheme="minorEastAsia" w:hAnsiTheme="minorEastAsia" w:eastAsiaTheme="minorEastAsia" w:cstheme="minorEastAsia"/>
                <w:sz w:val="24"/>
                <w:szCs w:val="24"/>
              </w:rPr>
              <w:t>音乐</w:t>
            </w:r>
          </w:p>
        </w:tc>
        <w:tc>
          <w:tcPr>
            <w:tcW w:w="3587" w:type="dxa"/>
            <w:shd w:val="clear" w:color="auto" w:fill="C5E0B3" w:themeFill="accent6" w:themeFillTint="66"/>
            <w:vAlign w:val="center"/>
          </w:tcPr>
          <w:p>
            <w:pPr>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郑州市艺术工程学校</w:t>
            </w:r>
          </w:p>
        </w:tc>
        <w:tc>
          <w:tcPr>
            <w:tcW w:w="1332" w:type="dxa"/>
            <w:vMerge w:val="continue"/>
            <w:shd w:val="clear" w:color="auto" w:fill="C5E0B3" w:themeFill="accent6" w:themeFillTint="66"/>
            <w:vAlign w:val="center"/>
          </w:tcPr>
          <w:p>
            <w:pPr>
              <w:spacing w:line="360" w:lineRule="auto"/>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88" w:type="dxa"/>
            <w:shd w:val="clear" w:color="auto" w:fill="D9E2F3" w:themeFill="accent5" w:themeFillTint="33"/>
            <w:vAlign w:val="center"/>
          </w:tcPr>
          <w:p>
            <w:pPr>
              <w:spacing w:line="360" w:lineRule="auto"/>
              <w:jc w:val="center"/>
              <w:textAlignment w:val="bottom"/>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bidi="ar"/>
              </w:rPr>
              <w:t>38</w:t>
            </w:r>
          </w:p>
        </w:tc>
        <w:tc>
          <w:tcPr>
            <w:tcW w:w="2994" w:type="dxa"/>
            <w:shd w:val="clear" w:color="auto" w:fill="C5E0B3" w:themeFill="accent6" w:themeFillTint="66"/>
            <w:vAlign w:val="center"/>
          </w:tcPr>
          <w:p>
            <w:pPr>
              <w:spacing w:line="360" w:lineRule="auto"/>
              <w:jc w:val="center"/>
            </w:pPr>
            <w:r>
              <w:rPr>
                <w:rFonts w:hint="eastAsia" w:asciiTheme="minorEastAsia" w:hAnsiTheme="minorEastAsia" w:eastAsiaTheme="minorEastAsia" w:cstheme="minorEastAsia"/>
                <w:sz w:val="24"/>
                <w:szCs w:val="24"/>
              </w:rPr>
              <w:t>电子商务</w:t>
            </w:r>
          </w:p>
        </w:tc>
        <w:tc>
          <w:tcPr>
            <w:tcW w:w="3587" w:type="dxa"/>
            <w:shd w:val="clear" w:color="auto" w:fill="C5E0B3" w:themeFill="accent6" w:themeFillTint="66"/>
            <w:vAlign w:val="center"/>
          </w:tcPr>
          <w:p>
            <w:pPr>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新密市职教中心</w:t>
            </w:r>
          </w:p>
        </w:tc>
        <w:tc>
          <w:tcPr>
            <w:tcW w:w="1332" w:type="dxa"/>
            <w:vMerge w:val="continue"/>
            <w:shd w:val="clear" w:color="auto" w:fill="C5E0B3" w:themeFill="accent6" w:themeFillTint="66"/>
            <w:vAlign w:val="center"/>
          </w:tcPr>
          <w:p>
            <w:pPr>
              <w:spacing w:line="360" w:lineRule="auto"/>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88" w:type="dxa"/>
            <w:shd w:val="clear" w:color="auto" w:fill="D9E2F3" w:themeFill="accent5" w:themeFillTint="33"/>
            <w:vAlign w:val="center"/>
          </w:tcPr>
          <w:p>
            <w:pPr>
              <w:spacing w:line="360" w:lineRule="auto"/>
              <w:jc w:val="center"/>
              <w:textAlignment w:val="bottom"/>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bidi="ar"/>
              </w:rPr>
              <w:t>39</w:t>
            </w:r>
          </w:p>
        </w:tc>
        <w:tc>
          <w:tcPr>
            <w:tcW w:w="2994" w:type="dxa"/>
            <w:shd w:val="clear" w:color="auto" w:fill="C5E0B3" w:themeFill="accent6" w:themeFillTint="66"/>
            <w:vAlign w:val="center"/>
          </w:tcPr>
          <w:p>
            <w:pPr>
              <w:spacing w:line="360" w:lineRule="auto"/>
              <w:jc w:val="center"/>
            </w:pPr>
            <w:r>
              <w:rPr>
                <w:rFonts w:hint="eastAsia" w:asciiTheme="minorEastAsia" w:hAnsiTheme="minorEastAsia" w:eastAsiaTheme="minorEastAsia" w:cstheme="minorEastAsia"/>
                <w:sz w:val="24"/>
                <w:szCs w:val="24"/>
              </w:rPr>
              <w:t>音乐</w:t>
            </w:r>
          </w:p>
        </w:tc>
        <w:tc>
          <w:tcPr>
            <w:tcW w:w="3587" w:type="dxa"/>
            <w:vMerge w:val="restart"/>
            <w:shd w:val="clear" w:color="auto" w:fill="C5E0B3" w:themeFill="accent6" w:themeFillTint="66"/>
            <w:vAlign w:val="center"/>
          </w:tcPr>
          <w:p>
            <w:pPr>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新郑市中等专业学校</w:t>
            </w:r>
          </w:p>
        </w:tc>
        <w:tc>
          <w:tcPr>
            <w:tcW w:w="1332" w:type="dxa"/>
            <w:vMerge w:val="continue"/>
            <w:shd w:val="clear" w:color="auto" w:fill="C5E0B3" w:themeFill="accent6" w:themeFillTint="66"/>
            <w:vAlign w:val="center"/>
          </w:tcPr>
          <w:p>
            <w:pPr>
              <w:spacing w:line="360" w:lineRule="auto"/>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88" w:type="dxa"/>
            <w:shd w:val="clear" w:color="auto" w:fill="D9E2F3" w:themeFill="accent5" w:themeFillTint="33"/>
            <w:vAlign w:val="center"/>
          </w:tcPr>
          <w:p>
            <w:pPr>
              <w:spacing w:line="360" w:lineRule="auto"/>
              <w:jc w:val="center"/>
              <w:textAlignment w:val="bottom"/>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bidi="ar"/>
              </w:rPr>
              <w:t>40</w:t>
            </w:r>
          </w:p>
        </w:tc>
        <w:tc>
          <w:tcPr>
            <w:tcW w:w="2994" w:type="dxa"/>
            <w:shd w:val="clear" w:color="auto" w:fill="C5E0B3" w:themeFill="accent6" w:themeFillTint="66"/>
            <w:vAlign w:val="center"/>
          </w:tcPr>
          <w:p>
            <w:pPr>
              <w:spacing w:line="360" w:lineRule="auto"/>
              <w:jc w:val="center"/>
            </w:pPr>
            <w:r>
              <w:rPr>
                <w:rFonts w:hint="eastAsia" w:asciiTheme="minorEastAsia" w:hAnsiTheme="minorEastAsia" w:eastAsiaTheme="minorEastAsia" w:cstheme="minorEastAsia"/>
                <w:sz w:val="24"/>
                <w:szCs w:val="24"/>
              </w:rPr>
              <w:t>计算机应用</w:t>
            </w:r>
          </w:p>
        </w:tc>
        <w:tc>
          <w:tcPr>
            <w:tcW w:w="3587" w:type="dxa"/>
            <w:vMerge w:val="continue"/>
            <w:shd w:val="clear" w:color="auto" w:fill="C5E0B3" w:themeFill="accent6" w:themeFillTint="66"/>
            <w:vAlign w:val="center"/>
          </w:tcPr>
          <w:p>
            <w:pPr>
              <w:spacing w:line="360" w:lineRule="auto"/>
              <w:jc w:val="center"/>
              <w:rPr>
                <w:rFonts w:asciiTheme="minorEastAsia" w:hAnsiTheme="minorEastAsia" w:eastAsiaTheme="minorEastAsia" w:cstheme="minorEastAsia"/>
                <w:sz w:val="24"/>
                <w:szCs w:val="24"/>
              </w:rPr>
            </w:pPr>
          </w:p>
        </w:tc>
        <w:tc>
          <w:tcPr>
            <w:tcW w:w="1332" w:type="dxa"/>
            <w:vMerge w:val="continue"/>
            <w:shd w:val="clear" w:color="auto" w:fill="C5E0B3" w:themeFill="accent6" w:themeFillTint="66"/>
            <w:vAlign w:val="center"/>
          </w:tcPr>
          <w:p>
            <w:pPr>
              <w:spacing w:line="360" w:lineRule="auto"/>
              <w:jc w:val="center"/>
              <w:rPr>
                <w:rFonts w:asciiTheme="minorEastAsia" w:hAnsiTheme="minorEastAsia" w:eastAsiaTheme="minorEastAsia" w:cstheme="minorEastAsia"/>
                <w:sz w:val="24"/>
                <w:szCs w:val="24"/>
              </w:rPr>
            </w:pPr>
          </w:p>
        </w:tc>
      </w:tr>
    </w:tbl>
    <w:p>
      <w:pPr>
        <w:pStyle w:val="12"/>
        <w:shd w:val="clear" w:color="auto" w:fill="FFFFFF"/>
        <w:spacing w:before="0" w:beforeAutospacing="0" w:after="0" w:afterAutospacing="0"/>
        <w:jc w:val="center"/>
        <w:rPr>
          <w:rFonts w:asciiTheme="minorEastAsia" w:hAnsiTheme="minorEastAsia" w:eastAsiaTheme="minorEastAsia" w:cstheme="minorEastAsia"/>
          <w:b/>
          <w:bCs/>
          <w:sz w:val="28"/>
          <w:szCs w:val="28"/>
        </w:rPr>
      </w:pPr>
    </w:p>
    <w:p>
      <w:pPr>
        <w:pStyle w:val="12"/>
        <w:shd w:val="clear" w:color="auto" w:fill="FFFFFF"/>
        <w:spacing w:before="0" w:beforeAutospacing="0" w:after="0" w:afterAutospacing="0"/>
        <w:jc w:val="center"/>
        <w:rPr>
          <w:rFonts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rPr>
        <w:t>表3-4：</w:t>
      </w:r>
      <w:r>
        <w:rPr>
          <w:rFonts w:hint="eastAsia" w:asciiTheme="minorEastAsia" w:hAnsiTheme="minorEastAsia" w:eastAsiaTheme="minorEastAsia" w:cstheme="minorEastAsia"/>
          <w:b/>
          <w:bCs/>
          <w:sz w:val="28"/>
          <w:szCs w:val="28"/>
          <w:shd w:val="clear" w:color="auto" w:fill="FFFFFF"/>
        </w:rPr>
        <w:t>郑州市中等职业学校专业技能工作室名单（38个）</w:t>
      </w:r>
    </w:p>
    <w:tbl>
      <w:tblPr>
        <w:tblStyle w:val="13"/>
        <w:tblW w:w="9638" w:type="dxa"/>
        <w:jc w:val="center"/>
        <w:tblBorders>
          <w:top w:val="single" w:color="333333" w:sz="8" w:space="0"/>
          <w:left w:val="single" w:color="333333" w:sz="8" w:space="0"/>
          <w:bottom w:val="single" w:color="333333" w:sz="8" w:space="0"/>
          <w:right w:val="single" w:color="333333" w:sz="8" w:space="0"/>
          <w:insideH w:val="single" w:color="333333" w:sz="8" w:space="0"/>
          <w:insideV w:val="single" w:color="333333" w:sz="8" w:space="0"/>
        </w:tblBorders>
        <w:shd w:val="clear" w:color="auto" w:fill="000000"/>
        <w:tblLayout w:type="fixed"/>
        <w:tblCellMar>
          <w:top w:w="0" w:type="dxa"/>
          <w:left w:w="0" w:type="dxa"/>
          <w:bottom w:w="0" w:type="dxa"/>
          <w:right w:w="0" w:type="dxa"/>
        </w:tblCellMar>
      </w:tblPr>
      <w:tblGrid>
        <w:gridCol w:w="740"/>
        <w:gridCol w:w="2841"/>
        <w:gridCol w:w="3607"/>
        <w:gridCol w:w="1225"/>
        <w:gridCol w:w="1225"/>
      </w:tblGrid>
      <w:tr>
        <w:tblPrEx>
          <w:tblBorders>
            <w:top w:val="single" w:color="333333" w:sz="8" w:space="0"/>
            <w:left w:val="single" w:color="333333" w:sz="8" w:space="0"/>
            <w:bottom w:val="single" w:color="333333" w:sz="8" w:space="0"/>
            <w:right w:val="single" w:color="333333" w:sz="8" w:space="0"/>
            <w:insideH w:val="single" w:color="333333" w:sz="8" w:space="0"/>
            <w:insideV w:val="single" w:color="333333" w:sz="8" w:space="0"/>
          </w:tblBorders>
          <w:shd w:val="clear" w:color="auto" w:fill="000000"/>
          <w:tblCellMar>
            <w:top w:w="0" w:type="dxa"/>
            <w:left w:w="0" w:type="dxa"/>
            <w:bottom w:w="0" w:type="dxa"/>
            <w:right w:w="0" w:type="dxa"/>
          </w:tblCellMar>
        </w:tblPrEx>
        <w:trPr>
          <w:jc w:val="center"/>
        </w:trPr>
        <w:tc>
          <w:tcPr>
            <w:tcW w:w="740" w:type="dxa"/>
            <w:tcBorders>
              <w:tl2br w:val="nil"/>
              <w:tr2bl w:val="nil"/>
            </w:tcBorders>
            <w:shd w:val="clear" w:color="auto" w:fill="D9E2F3" w:themeFill="accent5" w:themeFillTint="33"/>
            <w:tcMar>
              <w:top w:w="150" w:type="dxa"/>
              <w:left w:w="225" w:type="dxa"/>
              <w:bottom w:w="150" w:type="dxa"/>
              <w:right w:w="225" w:type="dxa"/>
            </w:tcMar>
            <w:vAlign w:val="center"/>
          </w:tcPr>
          <w:p>
            <w:pPr>
              <w:spacing w:line="240" w:lineRule="exact"/>
              <w:jc w:val="center"/>
              <w:rPr>
                <w:rFonts w:ascii="宋体" w:hAnsi="宋体"/>
                <w:b/>
                <w:bCs/>
                <w:szCs w:val="18"/>
              </w:rPr>
            </w:pPr>
            <w:r>
              <w:rPr>
                <w:rFonts w:hint="eastAsia" w:asciiTheme="minorEastAsia" w:hAnsiTheme="minorEastAsia" w:cstheme="minorEastAsia"/>
                <w:b/>
                <w:bCs/>
                <w:sz w:val="22"/>
                <w:szCs w:val="22"/>
              </w:rPr>
              <w:t>序号</w:t>
            </w:r>
          </w:p>
        </w:tc>
        <w:tc>
          <w:tcPr>
            <w:tcW w:w="2841" w:type="dxa"/>
            <w:tcBorders>
              <w:tl2br w:val="nil"/>
              <w:tr2bl w:val="nil"/>
            </w:tcBorders>
            <w:shd w:val="clear" w:color="auto" w:fill="D9E2F3" w:themeFill="accent5" w:themeFillTint="33"/>
            <w:tcMar>
              <w:top w:w="150" w:type="dxa"/>
              <w:left w:w="225" w:type="dxa"/>
              <w:bottom w:w="150" w:type="dxa"/>
              <w:right w:w="225" w:type="dxa"/>
            </w:tcMar>
            <w:vAlign w:val="center"/>
          </w:tcPr>
          <w:p>
            <w:pPr>
              <w:spacing w:line="240" w:lineRule="exact"/>
              <w:jc w:val="center"/>
              <w:rPr>
                <w:rFonts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工作室名称</w:t>
            </w:r>
          </w:p>
        </w:tc>
        <w:tc>
          <w:tcPr>
            <w:tcW w:w="3607" w:type="dxa"/>
            <w:tcBorders>
              <w:tl2br w:val="nil"/>
              <w:tr2bl w:val="nil"/>
            </w:tcBorders>
            <w:shd w:val="clear" w:color="auto" w:fill="D9E2F3" w:themeFill="accent5" w:themeFillTint="33"/>
            <w:tcMar>
              <w:top w:w="150" w:type="dxa"/>
              <w:left w:w="225" w:type="dxa"/>
              <w:bottom w:w="150" w:type="dxa"/>
              <w:right w:w="225" w:type="dxa"/>
            </w:tcMar>
            <w:vAlign w:val="center"/>
          </w:tcPr>
          <w:p>
            <w:pPr>
              <w:spacing w:line="240" w:lineRule="exact"/>
              <w:jc w:val="center"/>
              <w:rPr>
                <w:rFonts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所在学校</w:t>
            </w:r>
          </w:p>
        </w:tc>
        <w:tc>
          <w:tcPr>
            <w:tcW w:w="1225" w:type="dxa"/>
            <w:tcBorders>
              <w:tl2br w:val="nil"/>
              <w:tr2bl w:val="nil"/>
            </w:tcBorders>
            <w:shd w:val="clear" w:color="auto" w:fill="D9E2F3" w:themeFill="accent5" w:themeFillTint="33"/>
            <w:tcMar>
              <w:top w:w="150" w:type="dxa"/>
              <w:left w:w="225" w:type="dxa"/>
              <w:bottom w:w="150" w:type="dxa"/>
              <w:right w:w="225" w:type="dxa"/>
            </w:tcMar>
            <w:vAlign w:val="center"/>
          </w:tcPr>
          <w:p>
            <w:pPr>
              <w:spacing w:line="240" w:lineRule="exact"/>
              <w:jc w:val="center"/>
              <w:rPr>
                <w:rFonts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主持人</w:t>
            </w:r>
          </w:p>
        </w:tc>
        <w:tc>
          <w:tcPr>
            <w:tcW w:w="1225" w:type="dxa"/>
            <w:tcBorders>
              <w:tl2br w:val="nil"/>
              <w:tr2bl w:val="nil"/>
            </w:tcBorders>
            <w:shd w:val="clear" w:color="auto" w:fill="D9E2F3" w:themeFill="accent5" w:themeFillTint="33"/>
            <w:tcMar>
              <w:top w:w="150" w:type="dxa"/>
              <w:left w:w="225" w:type="dxa"/>
              <w:bottom w:w="150" w:type="dxa"/>
              <w:right w:w="225" w:type="dxa"/>
            </w:tcMar>
            <w:vAlign w:val="center"/>
          </w:tcPr>
          <w:p>
            <w:pPr>
              <w:spacing w:line="240" w:lineRule="exact"/>
              <w:jc w:val="center"/>
              <w:rPr>
                <w:rFonts w:asciiTheme="minorEastAsia" w:hAnsiTheme="minorEastAsia" w:cstheme="minorEastAsia"/>
                <w:b/>
                <w:bCs/>
                <w:sz w:val="22"/>
                <w:szCs w:val="22"/>
              </w:rPr>
            </w:pPr>
            <w:r>
              <w:rPr>
                <w:rFonts w:hint="eastAsia" w:asciiTheme="minorEastAsia" w:hAnsiTheme="minorEastAsia" w:cstheme="minorEastAsia"/>
                <w:b/>
                <w:bCs/>
                <w:sz w:val="22"/>
                <w:szCs w:val="22"/>
              </w:rPr>
              <w:t>批次</w:t>
            </w:r>
          </w:p>
        </w:tc>
      </w:tr>
      <w:tr>
        <w:tblPrEx>
          <w:tblBorders>
            <w:top w:val="single" w:color="333333" w:sz="8" w:space="0"/>
            <w:left w:val="single" w:color="333333" w:sz="8" w:space="0"/>
            <w:bottom w:val="single" w:color="333333" w:sz="8" w:space="0"/>
            <w:right w:val="single" w:color="333333" w:sz="8" w:space="0"/>
            <w:insideH w:val="single" w:color="333333" w:sz="8" w:space="0"/>
            <w:insideV w:val="single" w:color="333333" w:sz="8" w:space="0"/>
          </w:tblBorders>
          <w:shd w:val="clear" w:color="auto" w:fill="000000"/>
          <w:tblCellMar>
            <w:top w:w="0" w:type="dxa"/>
            <w:left w:w="0" w:type="dxa"/>
            <w:bottom w:w="0" w:type="dxa"/>
            <w:right w:w="0" w:type="dxa"/>
          </w:tblCellMar>
        </w:tblPrEx>
        <w:trPr>
          <w:jc w:val="center"/>
        </w:trPr>
        <w:tc>
          <w:tcPr>
            <w:tcW w:w="740" w:type="dxa"/>
            <w:tcBorders>
              <w:tl2br w:val="nil"/>
              <w:tr2bl w:val="nil"/>
            </w:tcBorders>
            <w:shd w:val="clear" w:color="auto" w:fill="D9E2F3" w:themeFill="accent5" w:themeFillTint="33"/>
            <w:tcMar>
              <w:top w:w="150" w:type="dxa"/>
              <w:left w:w="225" w:type="dxa"/>
              <w:bottom w:w="150" w:type="dxa"/>
              <w:right w:w="225" w:type="dxa"/>
            </w:tcMar>
            <w:vAlign w:val="center"/>
          </w:tcPr>
          <w:p>
            <w:pPr>
              <w:spacing w:line="240" w:lineRule="exact"/>
              <w:jc w:val="center"/>
              <w:rPr>
                <w:rFonts w:asciiTheme="minorEastAsia" w:hAnsiTheme="minorEastAsia" w:eastAsiaTheme="minorEastAsia" w:cstheme="minorEastAsia"/>
                <w:sz w:val="22"/>
                <w:szCs w:val="22"/>
              </w:rPr>
            </w:pPr>
            <w:r>
              <w:rPr>
                <w:rFonts w:hint="eastAsia" w:ascii="宋体" w:hAnsi="宋体"/>
                <w:szCs w:val="18"/>
              </w:rPr>
              <w:t>1</w:t>
            </w:r>
          </w:p>
        </w:tc>
        <w:tc>
          <w:tcPr>
            <w:tcW w:w="2841" w:type="dxa"/>
            <w:tcBorders>
              <w:tl2br w:val="nil"/>
              <w:tr2bl w:val="nil"/>
            </w:tcBorders>
            <w:shd w:val="clear" w:color="auto" w:fill="C5E0B3" w:themeFill="accent6" w:themeFillTint="66"/>
            <w:tcMar>
              <w:top w:w="150" w:type="dxa"/>
              <w:left w:w="225" w:type="dxa"/>
              <w:bottom w:w="150" w:type="dxa"/>
              <w:right w:w="225" w:type="dxa"/>
            </w:tcMar>
            <w:vAlign w:val="center"/>
          </w:tcPr>
          <w:p>
            <w:pPr>
              <w:spacing w:line="240" w:lineRule="exact"/>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机电技术应用</w:t>
            </w:r>
          </w:p>
        </w:tc>
        <w:tc>
          <w:tcPr>
            <w:tcW w:w="3607" w:type="dxa"/>
            <w:tcBorders>
              <w:tl2br w:val="nil"/>
              <w:tr2bl w:val="nil"/>
            </w:tcBorders>
            <w:shd w:val="clear" w:color="auto" w:fill="C5E0B3" w:themeFill="accent6" w:themeFillTint="66"/>
            <w:tcMar>
              <w:top w:w="150" w:type="dxa"/>
              <w:left w:w="225" w:type="dxa"/>
              <w:bottom w:w="150" w:type="dxa"/>
              <w:right w:w="225" w:type="dxa"/>
            </w:tcMar>
            <w:vAlign w:val="center"/>
          </w:tcPr>
          <w:p>
            <w:pPr>
              <w:spacing w:line="240" w:lineRule="exact"/>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郑州市电子信息工程学校</w:t>
            </w:r>
          </w:p>
        </w:tc>
        <w:tc>
          <w:tcPr>
            <w:tcW w:w="1225" w:type="dxa"/>
            <w:tcBorders>
              <w:tl2br w:val="nil"/>
              <w:tr2bl w:val="nil"/>
            </w:tcBorders>
            <w:shd w:val="clear" w:color="auto" w:fill="C5E0B3" w:themeFill="accent6" w:themeFillTint="66"/>
            <w:tcMar>
              <w:top w:w="150" w:type="dxa"/>
              <w:left w:w="225" w:type="dxa"/>
              <w:bottom w:w="150" w:type="dxa"/>
              <w:right w:w="225" w:type="dxa"/>
            </w:tcMar>
            <w:vAlign w:val="center"/>
          </w:tcPr>
          <w:p>
            <w:pPr>
              <w:spacing w:line="240" w:lineRule="exact"/>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葛硕硕</w:t>
            </w:r>
          </w:p>
        </w:tc>
        <w:tc>
          <w:tcPr>
            <w:tcW w:w="1225" w:type="dxa"/>
            <w:vMerge w:val="restart"/>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第一批</w:t>
            </w:r>
          </w:p>
          <w:p>
            <w:pPr>
              <w:jc w:val="center"/>
            </w:pPr>
            <w:r>
              <w:rPr>
                <w:rFonts w:hint="eastAsia"/>
              </w:rPr>
              <w:t>6个</w:t>
            </w:r>
          </w:p>
        </w:tc>
      </w:tr>
      <w:tr>
        <w:tblPrEx>
          <w:tblBorders>
            <w:top w:val="single" w:color="333333" w:sz="8" w:space="0"/>
            <w:left w:val="single" w:color="333333" w:sz="8" w:space="0"/>
            <w:bottom w:val="single" w:color="333333" w:sz="8" w:space="0"/>
            <w:right w:val="single" w:color="333333" w:sz="8" w:space="0"/>
            <w:insideH w:val="single" w:color="333333" w:sz="8" w:space="0"/>
            <w:insideV w:val="single" w:color="333333" w:sz="8" w:space="0"/>
          </w:tblBorders>
          <w:shd w:val="clear" w:color="auto" w:fill="000000"/>
          <w:tblCellMar>
            <w:top w:w="0" w:type="dxa"/>
            <w:left w:w="0" w:type="dxa"/>
            <w:bottom w:w="0" w:type="dxa"/>
            <w:right w:w="0" w:type="dxa"/>
          </w:tblCellMar>
        </w:tblPrEx>
        <w:trPr>
          <w:jc w:val="center"/>
        </w:trPr>
        <w:tc>
          <w:tcPr>
            <w:tcW w:w="740" w:type="dxa"/>
            <w:tcBorders>
              <w:tl2br w:val="nil"/>
              <w:tr2bl w:val="nil"/>
            </w:tcBorders>
            <w:shd w:val="clear" w:color="auto" w:fill="D9E2F3" w:themeFill="accent5" w:themeFillTint="33"/>
            <w:tcMar>
              <w:top w:w="150" w:type="dxa"/>
              <w:left w:w="225" w:type="dxa"/>
              <w:bottom w:w="150" w:type="dxa"/>
              <w:right w:w="225" w:type="dxa"/>
            </w:tcMar>
            <w:vAlign w:val="center"/>
          </w:tcPr>
          <w:p>
            <w:pPr>
              <w:spacing w:line="240" w:lineRule="exact"/>
              <w:jc w:val="center"/>
              <w:rPr>
                <w:rFonts w:asciiTheme="minorEastAsia" w:hAnsiTheme="minorEastAsia" w:eastAsiaTheme="minorEastAsia" w:cstheme="minorEastAsia"/>
                <w:sz w:val="22"/>
                <w:szCs w:val="22"/>
              </w:rPr>
            </w:pPr>
            <w:r>
              <w:rPr>
                <w:rFonts w:hint="eastAsia" w:ascii="宋体" w:hAnsi="宋体"/>
                <w:szCs w:val="18"/>
              </w:rPr>
              <w:t>2</w:t>
            </w:r>
          </w:p>
        </w:tc>
        <w:tc>
          <w:tcPr>
            <w:tcW w:w="2841" w:type="dxa"/>
            <w:tcBorders>
              <w:tl2br w:val="nil"/>
              <w:tr2bl w:val="nil"/>
            </w:tcBorders>
            <w:shd w:val="clear" w:color="auto" w:fill="C5E0B3" w:themeFill="accent6" w:themeFillTint="66"/>
            <w:tcMar>
              <w:top w:w="150" w:type="dxa"/>
              <w:left w:w="225" w:type="dxa"/>
              <w:bottom w:w="150" w:type="dxa"/>
              <w:right w:w="225" w:type="dxa"/>
            </w:tcMar>
            <w:vAlign w:val="center"/>
          </w:tcPr>
          <w:p>
            <w:pPr>
              <w:spacing w:line="240" w:lineRule="exact"/>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电子技术应用</w:t>
            </w:r>
          </w:p>
        </w:tc>
        <w:tc>
          <w:tcPr>
            <w:tcW w:w="3607" w:type="dxa"/>
            <w:tcBorders>
              <w:tl2br w:val="nil"/>
              <w:tr2bl w:val="nil"/>
            </w:tcBorders>
            <w:shd w:val="clear" w:color="auto" w:fill="C5E0B3" w:themeFill="accent6" w:themeFillTint="66"/>
            <w:tcMar>
              <w:top w:w="150" w:type="dxa"/>
              <w:left w:w="225" w:type="dxa"/>
              <w:bottom w:w="150" w:type="dxa"/>
              <w:right w:w="225" w:type="dxa"/>
            </w:tcMar>
            <w:vAlign w:val="center"/>
          </w:tcPr>
          <w:p>
            <w:pPr>
              <w:spacing w:line="240" w:lineRule="exact"/>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郑州市电子信息工程学校</w:t>
            </w:r>
          </w:p>
        </w:tc>
        <w:tc>
          <w:tcPr>
            <w:tcW w:w="1225" w:type="dxa"/>
            <w:tcBorders>
              <w:tl2br w:val="nil"/>
              <w:tr2bl w:val="nil"/>
            </w:tcBorders>
            <w:shd w:val="clear" w:color="auto" w:fill="C5E0B3" w:themeFill="accent6" w:themeFillTint="66"/>
            <w:tcMar>
              <w:top w:w="150" w:type="dxa"/>
              <w:left w:w="225" w:type="dxa"/>
              <w:bottom w:w="150" w:type="dxa"/>
              <w:right w:w="225" w:type="dxa"/>
            </w:tcMar>
            <w:vAlign w:val="center"/>
          </w:tcPr>
          <w:p>
            <w:pPr>
              <w:spacing w:line="240" w:lineRule="exact"/>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陈文龙</w:t>
            </w:r>
          </w:p>
        </w:tc>
        <w:tc>
          <w:tcPr>
            <w:tcW w:w="1225" w:type="dxa"/>
            <w:vMerge w:val="continue"/>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p>
        </w:tc>
      </w:tr>
      <w:tr>
        <w:tblPrEx>
          <w:tblBorders>
            <w:top w:val="single" w:color="333333" w:sz="8" w:space="0"/>
            <w:left w:val="single" w:color="333333" w:sz="8" w:space="0"/>
            <w:bottom w:val="single" w:color="333333" w:sz="8" w:space="0"/>
            <w:right w:val="single" w:color="333333" w:sz="8" w:space="0"/>
            <w:insideH w:val="single" w:color="333333" w:sz="8" w:space="0"/>
            <w:insideV w:val="single" w:color="333333" w:sz="8" w:space="0"/>
          </w:tblBorders>
          <w:shd w:val="clear" w:color="auto" w:fill="000000"/>
          <w:tblCellMar>
            <w:top w:w="0" w:type="dxa"/>
            <w:left w:w="0" w:type="dxa"/>
            <w:bottom w:w="0" w:type="dxa"/>
            <w:right w:w="0" w:type="dxa"/>
          </w:tblCellMar>
        </w:tblPrEx>
        <w:trPr>
          <w:jc w:val="center"/>
        </w:trPr>
        <w:tc>
          <w:tcPr>
            <w:tcW w:w="740" w:type="dxa"/>
            <w:tcBorders>
              <w:tl2br w:val="nil"/>
              <w:tr2bl w:val="nil"/>
            </w:tcBorders>
            <w:shd w:val="clear" w:color="auto" w:fill="D9E2F3" w:themeFill="accent5" w:themeFillTint="33"/>
            <w:tcMar>
              <w:top w:w="150" w:type="dxa"/>
              <w:left w:w="225" w:type="dxa"/>
              <w:bottom w:w="150" w:type="dxa"/>
              <w:right w:w="225" w:type="dxa"/>
            </w:tcMar>
            <w:vAlign w:val="center"/>
          </w:tcPr>
          <w:p>
            <w:pPr>
              <w:spacing w:line="240" w:lineRule="exact"/>
              <w:jc w:val="center"/>
              <w:rPr>
                <w:rFonts w:asciiTheme="minorEastAsia" w:hAnsiTheme="minorEastAsia" w:eastAsiaTheme="minorEastAsia" w:cstheme="minorEastAsia"/>
                <w:sz w:val="22"/>
                <w:szCs w:val="22"/>
              </w:rPr>
            </w:pPr>
            <w:r>
              <w:rPr>
                <w:rFonts w:hint="eastAsia" w:ascii="宋体" w:hAnsi="宋体"/>
                <w:szCs w:val="18"/>
              </w:rPr>
              <w:t>3</w:t>
            </w:r>
          </w:p>
        </w:tc>
        <w:tc>
          <w:tcPr>
            <w:tcW w:w="2841" w:type="dxa"/>
            <w:tcBorders>
              <w:tl2br w:val="nil"/>
              <w:tr2bl w:val="nil"/>
            </w:tcBorders>
            <w:shd w:val="clear" w:color="auto" w:fill="C5E0B3" w:themeFill="accent6" w:themeFillTint="66"/>
            <w:tcMar>
              <w:top w:w="150" w:type="dxa"/>
              <w:left w:w="225" w:type="dxa"/>
              <w:bottom w:w="150" w:type="dxa"/>
              <w:right w:w="225" w:type="dxa"/>
            </w:tcMar>
            <w:vAlign w:val="center"/>
          </w:tcPr>
          <w:p>
            <w:pPr>
              <w:spacing w:line="240" w:lineRule="exact"/>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会计</w:t>
            </w:r>
          </w:p>
        </w:tc>
        <w:tc>
          <w:tcPr>
            <w:tcW w:w="3607" w:type="dxa"/>
            <w:tcBorders>
              <w:tl2br w:val="nil"/>
              <w:tr2bl w:val="nil"/>
            </w:tcBorders>
            <w:shd w:val="clear" w:color="auto" w:fill="C5E0B3" w:themeFill="accent6" w:themeFillTint="66"/>
            <w:tcMar>
              <w:top w:w="150" w:type="dxa"/>
              <w:left w:w="225" w:type="dxa"/>
              <w:bottom w:w="150" w:type="dxa"/>
              <w:right w:w="225" w:type="dxa"/>
            </w:tcMar>
            <w:vAlign w:val="center"/>
          </w:tcPr>
          <w:p>
            <w:pPr>
              <w:spacing w:line="240" w:lineRule="exact"/>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郑州市财贸学校</w:t>
            </w:r>
          </w:p>
        </w:tc>
        <w:tc>
          <w:tcPr>
            <w:tcW w:w="1225" w:type="dxa"/>
            <w:tcBorders>
              <w:tl2br w:val="nil"/>
              <w:tr2bl w:val="nil"/>
            </w:tcBorders>
            <w:shd w:val="clear" w:color="auto" w:fill="C5E0B3" w:themeFill="accent6" w:themeFillTint="66"/>
            <w:tcMar>
              <w:top w:w="150" w:type="dxa"/>
              <w:left w:w="225" w:type="dxa"/>
              <w:bottom w:w="150" w:type="dxa"/>
              <w:right w:w="225" w:type="dxa"/>
            </w:tcMar>
            <w:vAlign w:val="center"/>
          </w:tcPr>
          <w:p>
            <w:pPr>
              <w:spacing w:line="240" w:lineRule="exact"/>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李  静</w:t>
            </w:r>
          </w:p>
        </w:tc>
        <w:tc>
          <w:tcPr>
            <w:tcW w:w="1225" w:type="dxa"/>
            <w:vMerge w:val="continue"/>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p>
        </w:tc>
      </w:tr>
      <w:tr>
        <w:tblPrEx>
          <w:tblBorders>
            <w:top w:val="single" w:color="333333" w:sz="8" w:space="0"/>
            <w:left w:val="single" w:color="333333" w:sz="8" w:space="0"/>
            <w:bottom w:val="single" w:color="333333" w:sz="8" w:space="0"/>
            <w:right w:val="single" w:color="333333" w:sz="8" w:space="0"/>
            <w:insideH w:val="single" w:color="333333" w:sz="8" w:space="0"/>
            <w:insideV w:val="single" w:color="333333" w:sz="8" w:space="0"/>
          </w:tblBorders>
          <w:shd w:val="clear" w:color="auto" w:fill="000000"/>
          <w:tblCellMar>
            <w:top w:w="0" w:type="dxa"/>
            <w:left w:w="0" w:type="dxa"/>
            <w:bottom w:w="0" w:type="dxa"/>
            <w:right w:w="0" w:type="dxa"/>
          </w:tblCellMar>
        </w:tblPrEx>
        <w:trPr>
          <w:jc w:val="center"/>
        </w:trPr>
        <w:tc>
          <w:tcPr>
            <w:tcW w:w="740" w:type="dxa"/>
            <w:tcBorders>
              <w:tl2br w:val="nil"/>
              <w:tr2bl w:val="nil"/>
            </w:tcBorders>
            <w:shd w:val="clear" w:color="auto" w:fill="D9E2F3" w:themeFill="accent5" w:themeFillTint="33"/>
            <w:tcMar>
              <w:top w:w="150" w:type="dxa"/>
              <w:left w:w="225" w:type="dxa"/>
              <w:bottom w:w="150" w:type="dxa"/>
              <w:right w:w="225" w:type="dxa"/>
            </w:tcMar>
            <w:vAlign w:val="center"/>
          </w:tcPr>
          <w:p>
            <w:pPr>
              <w:spacing w:line="240" w:lineRule="exact"/>
              <w:jc w:val="center"/>
              <w:rPr>
                <w:rFonts w:asciiTheme="minorEastAsia" w:hAnsiTheme="minorEastAsia" w:eastAsiaTheme="minorEastAsia" w:cstheme="minorEastAsia"/>
                <w:sz w:val="22"/>
                <w:szCs w:val="22"/>
              </w:rPr>
            </w:pPr>
            <w:r>
              <w:rPr>
                <w:rFonts w:hint="eastAsia" w:ascii="宋体" w:hAnsi="宋体"/>
                <w:szCs w:val="18"/>
              </w:rPr>
              <w:t>4</w:t>
            </w:r>
          </w:p>
        </w:tc>
        <w:tc>
          <w:tcPr>
            <w:tcW w:w="2841" w:type="dxa"/>
            <w:tcBorders>
              <w:tl2br w:val="nil"/>
              <w:tr2bl w:val="nil"/>
            </w:tcBorders>
            <w:shd w:val="clear" w:color="auto" w:fill="C5E0B3" w:themeFill="accent6" w:themeFillTint="66"/>
            <w:tcMar>
              <w:top w:w="150" w:type="dxa"/>
              <w:left w:w="225" w:type="dxa"/>
              <w:bottom w:w="150" w:type="dxa"/>
              <w:right w:w="225" w:type="dxa"/>
            </w:tcMar>
            <w:vAlign w:val="center"/>
          </w:tcPr>
          <w:p>
            <w:pPr>
              <w:spacing w:line="240" w:lineRule="exact"/>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汽车运用与维修</w:t>
            </w:r>
          </w:p>
        </w:tc>
        <w:tc>
          <w:tcPr>
            <w:tcW w:w="3607" w:type="dxa"/>
            <w:tcBorders>
              <w:tl2br w:val="nil"/>
              <w:tr2bl w:val="nil"/>
            </w:tcBorders>
            <w:shd w:val="clear" w:color="auto" w:fill="C5E0B3" w:themeFill="accent6" w:themeFillTint="66"/>
            <w:tcMar>
              <w:top w:w="150" w:type="dxa"/>
              <w:left w:w="225" w:type="dxa"/>
              <w:bottom w:w="150" w:type="dxa"/>
              <w:right w:w="225" w:type="dxa"/>
            </w:tcMar>
            <w:vAlign w:val="center"/>
          </w:tcPr>
          <w:p>
            <w:pPr>
              <w:spacing w:line="240" w:lineRule="exact"/>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郑州市国防科技学校</w:t>
            </w:r>
          </w:p>
        </w:tc>
        <w:tc>
          <w:tcPr>
            <w:tcW w:w="1225" w:type="dxa"/>
            <w:tcBorders>
              <w:tl2br w:val="nil"/>
              <w:tr2bl w:val="nil"/>
            </w:tcBorders>
            <w:shd w:val="clear" w:color="auto" w:fill="C5E0B3" w:themeFill="accent6" w:themeFillTint="66"/>
            <w:tcMar>
              <w:top w:w="150" w:type="dxa"/>
              <w:left w:w="225" w:type="dxa"/>
              <w:bottom w:w="150" w:type="dxa"/>
              <w:right w:w="225" w:type="dxa"/>
            </w:tcMar>
            <w:vAlign w:val="center"/>
          </w:tcPr>
          <w:p>
            <w:pPr>
              <w:spacing w:line="240" w:lineRule="exact"/>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陈建军</w:t>
            </w:r>
          </w:p>
        </w:tc>
        <w:tc>
          <w:tcPr>
            <w:tcW w:w="1225" w:type="dxa"/>
            <w:vMerge w:val="continue"/>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p>
        </w:tc>
      </w:tr>
      <w:tr>
        <w:tblPrEx>
          <w:tblBorders>
            <w:top w:val="single" w:color="333333" w:sz="8" w:space="0"/>
            <w:left w:val="single" w:color="333333" w:sz="8" w:space="0"/>
            <w:bottom w:val="single" w:color="333333" w:sz="8" w:space="0"/>
            <w:right w:val="single" w:color="333333" w:sz="8" w:space="0"/>
            <w:insideH w:val="single" w:color="333333" w:sz="8" w:space="0"/>
            <w:insideV w:val="single" w:color="333333" w:sz="8" w:space="0"/>
          </w:tblBorders>
          <w:shd w:val="clear" w:color="auto" w:fill="000000"/>
          <w:tblCellMar>
            <w:top w:w="0" w:type="dxa"/>
            <w:left w:w="0" w:type="dxa"/>
            <w:bottom w:w="0" w:type="dxa"/>
            <w:right w:w="0" w:type="dxa"/>
          </w:tblCellMar>
        </w:tblPrEx>
        <w:trPr>
          <w:jc w:val="center"/>
        </w:trPr>
        <w:tc>
          <w:tcPr>
            <w:tcW w:w="740" w:type="dxa"/>
            <w:tcBorders>
              <w:tl2br w:val="nil"/>
              <w:tr2bl w:val="nil"/>
            </w:tcBorders>
            <w:shd w:val="clear" w:color="auto" w:fill="D9E2F3" w:themeFill="accent5" w:themeFillTint="33"/>
            <w:tcMar>
              <w:top w:w="150" w:type="dxa"/>
              <w:left w:w="225" w:type="dxa"/>
              <w:bottom w:w="150" w:type="dxa"/>
              <w:right w:w="225" w:type="dxa"/>
            </w:tcMar>
            <w:vAlign w:val="center"/>
          </w:tcPr>
          <w:p>
            <w:pPr>
              <w:spacing w:line="240" w:lineRule="exact"/>
              <w:jc w:val="center"/>
              <w:rPr>
                <w:rFonts w:asciiTheme="minorEastAsia" w:hAnsiTheme="minorEastAsia" w:eastAsiaTheme="minorEastAsia" w:cstheme="minorEastAsia"/>
                <w:sz w:val="22"/>
                <w:szCs w:val="22"/>
              </w:rPr>
            </w:pPr>
            <w:r>
              <w:rPr>
                <w:rFonts w:hint="eastAsia" w:ascii="宋体" w:hAnsi="宋体"/>
                <w:szCs w:val="18"/>
              </w:rPr>
              <w:t>5</w:t>
            </w:r>
          </w:p>
        </w:tc>
        <w:tc>
          <w:tcPr>
            <w:tcW w:w="2841" w:type="dxa"/>
            <w:tcBorders>
              <w:tl2br w:val="nil"/>
              <w:tr2bl w:val="nil"/>
            </w:tcBorders>
            <w:shd w:val="clear" w:color="auto" w:fill="C5E0B3" w:themeFill="accent6" w:themeFillTint="66"/>
            <w:tcMar>
              <w:top w:w="150" w:type="dxa"/>
              <w:left w:w="225" w:type="dxa"/>
              <w:bottom w:w="150" w:type="dxa"/>
              <w:right w:w="225" w:type="dxa"/>
            </w:tcMar>
            <w:vAlign w:val="center"/>
          </w:tcPr>
          <w:p>
            <w:pPr>
              <w:spacing w:line="240" w:lineRule="exact"/>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动漫游戏</w:t>
            </w:r>
          </w:p>
        </w:tc>
        <w:tc>
          <w:tcPr>
            <w:tcW w:w="3607" w:type="dxa"/>
            <w:tcBorders>
              <w:tl2br w:val="nil"/>
              <w:tr2bl w:val="nil"/>
            </w:tcBorders>
            <w:shd w:val="clear" w:color="auto" w:fill="C5E0B3" w:themeFill="accent6" w:themeFillTint="66"/>
            <w:tcMar>
              <w:top w:w="150" w:type="dxa"/>
              <w:left w:w="225" w:type="dxa"/>
              <w:bottom w:w="150" w:type="dxa"/>
              <w:right w:w="225" w:type="dxa"/>
            </w:tcMar>
            <w:vAlign w:val="center"/>
          </w:tcPr>
          <w:p>
            <w:pPr>
              <w:spacing w:line="240" w:lineRule="exact"/>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郑州市商贸管理学校</w:t>
            </w:r>
          </w:p>
        </w:tc>
        <w:tc>
          <w:tcPr>
            <w:tcW w:w="1225" w:type="dxa"/>
            <w:tcBorders>
              <w:tl2br w:val="nil"/>
              <w:tr2bl w:val="nil"/>
            </w:tcBorders>
            <w:shd w:val="clear" w:color="auto" w:fill="C5E0B3" w:themeFill="accent6" w:themeFillTint="66"/>
            <w:tcMar>
              <w:top w:w="150" w:type="dxa"/>
              <w:left w:w="225" w:type="dxa"/>
              <w:bottom w:w="150" w:type="dxa"/>
              <w:right w:w="225" w:type="dxa"/>
            </w:tcMar>
            <w:vAlign w:val="center"/>
          </w:tcPr>
          <w:p>
            <w:pPr>
              <w:spacing w:line="240" w:lineRule="exact"/>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贾啸宇</w:t>
            </w:r>
          </w:p>
        </w:tc>
        <w:tc>
          <w:tcPr>
            <w:tcW w:w="1225" w:type="dxa"/>
            <w:vMerge w:val="continue"/>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p>
        </w:tc>
      </w:tr>
      <w:tr>
        <w:tblPrEx>
          <w:tblBorders>
            <w:top w:val="single" w:color="333333" w:sz="8" w:space="0"/>
            <w:left w:val="single" w:color="333333" w:sz="8" w:space="0"/>
            <w:bottom w:val="single" w:color="333333" w:sz="8" w:space="0"/>
            <w:right w:val="single" w:color="333333" w:sz="8" w:space="0"/>
            <w:insideH w:val="single" w:color="333333" w:sz="8" w:space="0"/>
            <w:insideV w:val="single" w:color="333333" w:sz="8" w:space="0"/>
          </w:tblBorders>
          <w:shd w:val="clear" w:color="auto" w:fill="000000"/>
          <w:tblCellMar>
            <w:top w:w="0" w:type="dxa"/>
            <w:left w:w="0" w:type="dxa"/>
            <w:bottom w:w="0" w:type="dxa"/>
            <w:right w:w="0" w:type="dxa"/>
          </w:tblCellMar>
        </w:tblPrEx>
        <w:trPr>
          <w:jc w:val="center"/>
        </w:trPr>
        <w:tc>
          <w:tcPr>
            <w:tcW w:w="740" w:type="dxa"/>
            <w:tcBorders>
              <w:tl2br w:val="nil"/>
              <w:tr2bl w:val="nil"/>
            </w:tcBorders>
            <w:shd w:val="clear" w:color="auto" w:fill="D9E2F3" w:themeFill="accent5" w:themeFillTint="33"/>
            <w:tcMar>
              <w:top w:w="150" w:type="dxa"/>
              <w:left w:w="225" w:type="dxa"/>
              <w:bottom w:w="150" w:type="dxa"/>
              <w:right w:w="225" w:type="dxa"/>
            </w:tcMar>
            <w:vAlign w:val="center"/>
          </w:tcPr>
          <w:p>
            <w:pPr>
              <w:spacing w:line="240" w:lineRule="exact"/>
              <w:jc w:val="center"/>
              <w:rPr>
                <w:rFonts w:asciiTheme="minorEastAsia" w:hAnsiTheme="minorEastAsia" w:eastAsiaTheme="minorEastAsia" w:cstheme="minorEastAsia"/>
                <w:sz w:val="22"/>
                <w:szCs w:val="22"/>
              </w:rPr>
            </w:pPr>
            <w:r>
              <w:rPr>
                <w:rFonts w:hint="eastAsia" w:ascii="宋体" w:hAnsi="宋体"/>
                <w:szCs w:val="18"/>
              </w:rPr>
              <w:t>6</w:t>
            </w:r>
          </w:p>
        </w:tc>
        <w:tc>
          <w:tcPr>
            <w:tcW w:w="2841" w:type="dxa"/>
            <w:tcBorders>
              <w:tl2br w:val="nil"/>
              <w:tr2bl w:val="nil"/>
            </w:tcBorders>
            <w:shd w:val="clear" w:color="auto" w:fill="C5E0B3" w:themeFill="accent6" w:themeFillTint="66"/>
            <w:tcMar>
              <w:top w:w="150" w:type="dxa"/>
              <w:left w:w="225" w:type="dxa"/>
              <w:bottom w:w="150" w:type="dxa"/>
              <w:right w:w="225" w:type="dxa"/>
            </w:tcMar>
            <w:vAlign w:val="center"/>
          </w:tcPr>
          <w:p>
            <w:pPr>
              <w:spacing w:line="240" w:lineRule="exact"/>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服装设计与工艺</w:t>
            </w:r>
          </w:p>
        </w:tc>
        <w:tc>
          <w:tcPr>
            <w:tcW w:w="3607" w:type="dxa"/>
            <w:tcBorders>
              <w:tl2br w:val="nil"/>
              <w:tr2bl w:val="nil"/>
            </w:tcBorders>
            <w:shd w:val="clear" w:color="auto" w:fill="C5E0B3" w:themeFill="accent6" w:themeFillTint="66"/>
            <w:tcMar>
              <w:top w:w="150" w:type="dxa"/>
              <w:left w:w="225" w:type="dxa"/>
              <w:bottom w:w="150" w:type="dxa"/>
              <w:right w:w="225" w:type="dxa"/>
            </w:tcMar>
            <w:vAlign w:val="center"/>
          </w:tcPr>
          <w:p>
            <w:pPr>
              <w:spacing w:line="240" w:lineRule="exact"/>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郑州市科技工业学校</w:t>
            </w:r>
          </w:p>
        </w:tc>
        <w:tc>
          <w:tcPr>
            <w:tcW w:w="1225" w:type="dxa"/>
            <w:tcBorders>
              <w:tl2br w:val="nil"/>
              <w:tr2bl w:val="nil"/>
            </w:tcBorders>
            <w:shd w:val="clear" w:color="auto" w:fill="C5E0B3" w:themeFill="accent6" w:themeFillTint="66"/>
            <w:tcMar>
              <w:top w:w="150" w:type="dxa"/>
              <w:left w:w="225" w:type="dxa"/>
              <w:bottom w:w="150" w:type="dxa"/>
              <w:right w:w="225" w:type="dxa"/>
            </w:tcMar>
            <w:vAlign w:val="center"/>
          </w:tcPr>
          <w:p>
            <w:pPr>
              <w:spacing w:line="240" w:lineRule="exact"/>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花  芬</w:t>
            </w:r>
          </w:p>
        </w:tc>
        <w:tc>
          <w:tcPr>
            <w:tcW w:w="1225" w:type="dxa"/>
            <w:vMerge w:val="continue"/>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p>
        </w:tc>
      </w:tr>
      <w:tr>
        <w:tblPrEx>
          <w:tblBorders>
            <w:top w:val="single" w:color="333333" w:sz="8" w:space="0"/>
            <w:left w:val="single" w:color="333333" w:sz="8" w:space="0"/>
            <w:bottom w:val="single" w:color="333333" w:sz="8" w:space="0"/>
            <w:right w:val="single" w:color="333333" w:sz="8" w:space="0"/>
            <w:insideH w:val="single" w:color="333333" w:sz="8" w:space="0"/>
            <w:insideV w:val="single" w:color="333333" w:sz="8" w:space="0"/>
          </w:tblBorders>
          <w:shd w:val="clear" w:color="auto" w:fill="000000"/>
          <w:tblCellMar>
            <w:top w:w="0" w:type="dxa"/>
            <w:left w:w="0" w:type="dxa"/>
            <w:bottom w:w="0" w:type="dxa"/>
            <w:right w:w="0" w:type="dxa"/>
          </w:tblCellMar>
        </w:tblPrEx>
        <w:trPr>
          <w:jc w:val="center"/>
        </w:trPr>
        <w:tc>
          <w:tcPr>
            <w:tcW w:w="740" w:type="dxa"/>
            <w:tcBorders>
              <w:tl2br w:val="nil"/>
              <w:tr2bl w:val="nil"/>
            </w:tcBorders>
            <w:shd w:val="clear" w:color="auto" w:fill="D9E2F3" w:themeFill="accent5" w:themeFillTint="33"/>
            <w:tcMar>
              <w:top w:w="150" w:type="dxa"/>
              <w:left w:w="225" w:type="dxa"/>
              <w:bottom w:w="150" w:type="dxa"/>
              <w:right w:w="225" w:type="dxa"/>
            </w:tcMar>
            <w:vAlign w:val="center"/>
          </w:tcPr>
          <w:p>
            <w:pPr>
              <w:spacing w:line="240" w:lineRule="exact"/>
              <w:jc w:val="center"/>
              <w:rPr>
                <w:rFonts w:asciiTheme="minorEastAsia" w:hAnsiTheme="minorEastAsia" w:eastAsiaTheme="minorEastAsia" w:cstheme="minorEastAsia"/>
                <w:sz w:val="22"/>
                <w:szCs w:val="22"/>
              </w:rPr>
            </w:pPr>
            <w:r>
              <w:rPr>
                <w:rFonts w:hint="eastAsia" w:ascii="宋体" w:hAnsi="宋体"/>
                <w:szCs w:val="18"/>
              </w:rPr>
              <w:t>7</w:t>
            </w:r>
          </w:p>
        </w:tc>
        <w:tc>
          <w:tcPr>
            <w:tcW w:w="2841" w:type="dxa"/>
            <w:tcBorders>
              <w:tl2br w:val="nil"/>
              <w:tr2bl w:val="nil"/>
            </w:tcBorders>
            <w:shd w:val="clear" w:color="auto" w:fill="C5E0B3" w:themeFill="accent6" w:themeFillTint="66"/>
            <w:tcMar>
              <w:top w:w="150" w:type="dxa"/>
              <w:left w:w="225" w:type="dxa"/>
              <w:bottom w:w="150" w:type="dxa"/>
              <w:right w:w="225" w:type="dxa"/>
            </w:tcMar>
            <w:vAlign w:val="center"/>
          </w:tcPr>
          <w:p>
            <w:pPr>
              <w:pStyle w:val="12"/>
              <w:spacing w:before="0" w:beforeAutospacing="0" w:after="0" w:afterAutospacing="0" w:line="240" w:lineRule="exact"/>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美术设计与制作</w:t>
            </w:r>
          </w:p>
        </w:tc>
        <w:tc>
          <w:tcPr>
            <w:tcW w:w="3607" w:type="dxa"/>
            <w:tcBorders>
              <w:tl2br w:val="nil"/>
              <w:tr2bl w:val="nil"/>
            </w:tcBorders>
            <w:shd w:val="clear" w:color="auto" w:fill="C5E0B3" w:themeFill="accent6" w:themeFillTint="66"/>
            <w:tcMar>
              <w:top w:w="150" w:type="dxa"/>
              <w:left w:w="225" w:type="dxa"/>
              <w:bottom w:w="150" w:type="dxa"/>
              <w:right w:w="225" w:type="dxa"/>
            </w:tcMar>
            <w:vAlign w:val="center"/>
          </w:tcPr>
          <w:p>
            <w:pPr>
              <w:pStyle w:val="12"/>
              <w:spacing w:before="0" w:beforeAutospacing="0" w:after="0" w:afterAutospacing="0" w:line="240" w:lineRule="exact"/>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郑州艺术</w:t>
            </w:r>
            <w:r>
              <w:rPr>
                <w:rFonts w:hint="eastAsia" w:asciiTheme="minorEastAsia" w:hAnsiTheme="minorEastAsia" w:cstheme="minorEastAsia"/>
                <w:sz w:val="22"/>
                <w:szCs w:val="22"/>
              </w:rPr>
              <w:t>幼儿师范</w:t>
            </w:r>
            <w:r>
              <w:rPr>
                <w:rFonts w:hint="eastAsia" w:asciiTheme="minorEastAsia" w:hAnsiTheme="minorEastAsia" w:eastAsiaTheme="minorEastAsia" w:cstheme="minorEastAsia"/>
                <w:sz w:val="22"/>
                <w:szCs w:val="22"/>
              </w:rPr>
              <w:t>学校</w:t>
            </w:r>
          </w:p>
        </w:tc>
        <w:tc>
          <w:tcPr>
            <w:tcW w:w="1225" w:type="dxa"/>
            <w:tcBorders>
              <w:tl2br w:val="nil"/>
              <w:tr2bl w:val="nil"/>
            </w:tcBorders>
            <w:shd w:val="clear" w:color="auto" w:fill="C5E0B3" w:themeFill="accent6" w:themeFillTint="66"/>
            <w:tcMar>
              <w:top w:w="150" w:type="dxa"/>
              <w:left w:w="225" w:type="dxa"/>
              <w:bottom w:w="150" w:type="dxa"/>
              <w:right w:w="225" w:type="dxa"/>
            </w:tcMar>
            <w:vAlign w:val="center"/>
          </w:tcPr>
          <w:p>
            <w:pPr>
              <w:pStyle w:val="12"/>
              <w:spacing w:before="0" w:beforeAutospacing="0" w:after="0" w:afterAutospacing="0" w:line="240" w:lineRule="exact"/>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孟建军</w:t>
            </w:r>
          </w:p>
        </w:tc>
        <w:tc>
          <w:tcPr>
            <w:tcW w:w="1225" w:type="dxa"/>
            <w:vMerge w:val="restart"/>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第二批</w:t>
            </w:r>
          </w:p>
          <w:p>
            <w:pPr>
              <w:jc w:val="center"/>
            </w:pPr>
            <w:r>
              <w:rPr>
                <w:rFonts w:hint="eastAsia"/>
              </w:rPr>
              <w:t>8个</w:t>
            </w:r>
          </w:p>
        </w:tc>
      </w:tr>
      <w:tr>
        <w:tblPrEx>
          <w:tblBorders>
            <w:top w:val="single" w:color="333333" w:sz="8" w:space="0"/>
            <w:left w:val="single" w:color="333333" w:sz="8" w:space="0"/>
            <w:bottom w:val="single" w:color="333333" w:sz="8" w:space="0"/>
            <w:right w:val="single" w:color="333333" w:sz="8" w:space="0"/>
            <w:insideH w:val="single" w:color="333333" w:sz="8" w:space="0"/>
            <w:insideV w:val="single" w:color="333333" w:sz="8" w:space="0"/>
          </w:tblBorders>
          <w:shd w:val="clear" w:color="auto" w:fill="000000"/>
          <w:tblCellMar>
            <w:top w:w="0" w:type="dxa"/>
            <w:left w:w="0" w:type="dxa"/>
            <w:bottom w:w="0" w:type="dxa"/>
            <w:right w:w="0" w:type="dxa"/>
          </w:tblCellMar>
        </w:tblPrEx>
        <w:trPr>
          <w:jc w:val="center"/>
        </w:trPr>
        <w:tc>
          <w:tcPr>
            <w:tcW w:w="740" w:type="dxa"/>
            <w:tcBorders>
              <w:tl2br w:val="nil"/>
              <w:tr2bl w:val="nil"/>
            </w:tcBorders>
            <w:shd w:val="clear" w:color="auto" w:fill="D9E2F3" w:themeFill="accent5" w:themeFillTint="33"/>
            <w:tcMar>
              <w:top w:w="150" w:type="dxa"/>
              <w:left w:w="225" w:type="dxa"/>
              <w:bottom w:w="150" w:type="dxa"/>
              <w:right w:w="225" w:type="dxa"/>
            </w:tcMar>
            <w:vAlign w:val="center"/>
          </w:tcPr>
          <w:p>
            <w:pPr>
              <w:spacing w:line="240" w:lineRule="exact"/>
              <w:jc w:val="center"/>
              <w:rPr>
                <w:rFonts w:asciiTheme="minorEastAsia" w:hAnsiTheme="minorEastAsia" w:eastAsiaTheme="minorEastAsia" w:cstheme="minorEastAsia"/>
                <w:sz w:val="22"/>
                <w:szCs w:val="22"/>
              </w:rPr>
            </w:pPr>
            <w:r>
              <w:rPr>
                <w:rFonts w:hint="eastAsia" w:ascii="宋体" w:hAnsi="宋体"/>
                <w:szCs w:val="18"/>
              </w:rPr>
              <w:t>8</w:t>
            </w:r>
          </w:p>
        </w:tc>
        <w:tc>
          <w:tcPr>
            <w:tcW w:w="2841" w:type="dxa"/>
            <w:tcBorders>
              <w:tl2br w:val="nil"/>
              <w:tr2bl w:val="nil"/>
            </w:tcBorders>
            <w:shd w:val="clear" w:color="auto" w:fill="C5E0B3" w:themeFill="accent6" w:themeFillTint="66"/>
            <w:tcMar>
              <w:top w:w="150" w:type="dxa"/>
              <w:left w:w="225" w:type="dxa"/>
              <w:bottom w:w="150" w:type="dxa"/>
              <w:right w:w="225" w:type="dxa"/>
            </w:tcMar>
            <w:vAlign w:val="center"/>
          </w:tcPr>
          <w:p>
            <w:pPr>
              <w:pStyle w:val="12"/>
              <w:spacing w:before="0" w:beforeAutospacing="0" w:after="0" w:afterAutospacing="0" w:line="240" w:lineRule="exact"/>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电子商务</w:t>
            </w:r>
          </w:p>
        </w:tc>
        <w:tc>
          <w:tcPr>
            <w:tcW w:w="3607" w:type="dxa"/>
            <w:tcBorders>
              <w:tl2br w:val="nil"/>
              <w:tr2bl w:val="nil"/>
            </w:tcBorders>
            <w:shd w:val="clear" w:color="auto" w:fill="C5E0B3" w:themeFill="accent6" w:themeFillTint="66"/>
            <w:tcMar>
              <w:top w:w="150" w:type="dxa"/>
              <w:left w:w="225" w:type="dxa"/>
              <w:bottom w:w="150" w:type="dxa"/>
              <w:right w:w="225" w:type="dxa"/>
            </w:tcMar>
            <w:vAlign w:val="center"/>
          </w:tcPr>
          <w:p>
            <w:pPr>
              <w:pStyle w:val="12"/>
              <w:spacing w:before="0" w:beforeAutospacing="0" w:after="0" w:afterAutospacing="0" w:line="240" w:lineRule="exact"/>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郑州市经济贸易学校</w:t>
            </w:r>
          </w:p>
        </w:tc>
        <w:tc>
          <w:tcPr>
            <w:tcW w:w="1225" w:type="dxa"/>
            <w:tcBorders>
              <w:tl2br w:val="nil"/>
              <w:tr2bl w:val="nil"/>
            </w:tcBorders>
            <w:shd w:val="clear" w:color="auto" w:fill="C5E0B3" w:themeFill="accent6" w:themeFillTint="66"/>
            <w:tcMar>
              <w:top w:w="150" w:type="dxa"/>
              <w:left w:w="225" w:type="dxa"/>
              <w:bottom w:w="150" w:type="dxa"/>
              <w:right w:w="225" w:type="dxa"/>
            </w:tcMar>
            <w:vAlign w:val="center"/>
          </w:tcPr>
          <w:p>
            <w:pPr>
              <w:pStyle w:val="12"/>
              <w:spacing w:before="0" w:beforeAutospacing="0" w:after="0" w:afterAutospacing="0" w:line="240" w:lineRule="exact"/>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 xml:space="preserve">贾 </w:t>
            </w:r>
            <w:r>
              <w:rPr>
                <w:rFonts w:hint="eastAsia" w:asciiTheme="minorEastAsia" w:hAnsiTheme="minorEastAsia" w:cstheme="minorEastAsia"/>
                <w:sz w:val="22"/>
                <w:szCs w:val="22"/>
              </w:rPr>
              <w:t xml:space="preserve"> </w:t>
            </w:r>
            <w:r>
              <w:rPr>
                <w:rFonts w:hint="eastAsia" w:asciiTheme="minorEastAsia" w:hAnsiTheme="minorEastAsia" w:eastAsiaTheme="minorEastAsia" w:cstheme="minorEastAsia"/>
                <w:sz w:val="22"/>
                <w:szCs w:val="22"/>
              </w:rPr>
              <w:t>玮</w:t>
            </w:r>
          </w:p>
        </w:tc>
        <w:tc>
          <w:tcPr>
            <w:tcW w:w="1225" w:type="dxa"/>
            <w:vMerge w:val="continue"/>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p>
        </w:tc>
      </w:tr>
      <w:tr>
        <w:tblPrEx>
          <w:tblBorders>
            <w:top w:val="single" w:color="333333" w:sz="8" w:space="0"/>
            <w:left w:val="single" w:color="333333" w:sz="8" w:space="0"/>
            <w:bottom w:val="single" w:color="333333" w:sz="8" w:space="0"/>
            <w:right w:val="single" w:color="333333" w:sz="8" w:space="0"/>
            <w:insideH w:val="single" w:color="333333" w:sz="8" w:space="0"/>
            <w:insideV w:val="single" w:color="333333" w:sz="8" w:space="0"/>
          </w:tblBorders>
          <w:shd w:val="clear" w:color="auto" w:fill="000000"/>
          <w:tblCellMar>
            <w:top w:w="0" w:type="dxa"/>
            <w:left w:w="0" w:type="dxa"/>
            <w:bottom w:w="0" w:type="dxa"/>
            <w:right w:w="0" w:type="dxa"/>
          </w:tblCellMar>
        </w:tblPrEx>
        <w:trPr>
          <w:jc w:val="center"/>
        </w:trPr>
        <w:tc>
          <w:tcPr>
            <w:tcW w:w="740" w:type="dxa"/>
            <w:tcBorders>
              <w:tl2br w:val="nil"/>
              <w:tr2bl w:val="nil"/>
            </w:tcBorders>
            <w:shd w:val="clear" w:color="auto" w:fill="D9E2F3" w:themeFill="accent5" w:themeFillTint="33"/>
            <w:tcMar>
              <w:top w:w="150" w:type="dxa"/>
              <w:left w:w="225" w:type="dxa"/>
              <w:bottom w:w="150" w:type="dxa"/>
              <w:right w:w="225" w:type="dxa"/>
            </w:tcMar>
            <w:vAlign w:val="center"/>
          </w:tcPr>
          <w:p>
            <w:pPr>
              <w:spacing w:line="240" w:lineRule="exact"/>
              <w:jc w:val="center"/>
              <w:rPr>
                <w:rFonts w:asciiTheme="minorEastAsia" w:hAnsiTheme="minorEastAsia" w:eastAsiaTheme="minorEastAsia" w:cstheme="minorEastAsia"/>
                <w:sz w:val="22"/>
                <w:szCs w:val="22"/>
              </w:rPr>
            </w:pPr>
            <w:r>
              <w:rPr>
                <w:rFonts w:hint="eastAsia" w:ascii="宋体" w:hAnsi="宋体"/>
                <w:szCs w:val="18"/>
              </w:rPr>
              <w:t>9</w:t>
            </w:r>
          </w:p>
        </w:tc>
        <w:tc>
          <w:tcPr>
            <w:tcW w:w="2841" w:type="dxa"/>
            <w:tcBorders>
              <w:tl2br w:val="nil"/>
              <w:tr2bl w:val="nil"/>
            </w:tcBorders>
            <w:shd w:val="clear" w:color="auto" w:fill="C5E0B3" w:themeFill="accent6" w:themeFillTint="66"/>
            <w:tcMar>
              <w:top w:w="150" w:type="dxa"/>
              <w:left w:w="225" w:type="dxa"/>
              <w:bottom w:w="150" w:type="dxa"/>
              <w:right w:w="225" w:type="dxa"/>
            </w:tcMar>
            <w:vAlign w:val="center"/>
          </w:tcPr>
          <w:p>
            <w:pPr>
              <w:pStyle w:val="12"/>
              <w:spacing w:before="0" w:beforeAutospacing="0" w:after="0" w:afterAutospacing="0" w:line="240" w:lineRule="exact"/>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网站建设与管理</w:t>
            </w:r>
          </w:p>
        </w:tc>
        <w:tc>
          <w:tcPr>
            <w:tcW w:w="3607" w:type="dxa"/>
            <w:tcBorders>
              <w:tl2br w:val="nil"/>
              <w:tr2bl w:val="nil"/>
            </w:tcBorders>
            <w:shd w:val="clear" w:color="auto" w:fill="C5E0B3" w:themeFill="accent6" w:themeFillTint="66"/>
            <w:tcMar>
              <w:top w:w="150" w:type="dxa"/>
              <w:left w:w="225" w:type="dxa"/>
              <w:bottom w:w="150" w:type="dxa"/>
              <w:right w:w="225" w:type="dxa"/>
            </w:tcMar>
            <w:vAlign w:val="center"/>
          </w:tcPr>
          <w:p>
            <w:pPr>
              <w:pStyle w:val="12"/>
              <w:spacing w:before="0" w:beforeAutospacing="0" w:after="0" w:afterAutospacing="0" w:line="240" w:lineRule="exact"/>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郑州市信息技术学校</w:t>
            </w:r>
          </w:p>
        </w:tc>
        <w:tc>
          <w:tcPr>
            <w:tcW w:w="1225" w:type="dxa"/>
            <w:tcBorders>
              <w:tl2br w:val="nil"/>
              <w:tr2bl w:val="nil"/>
            </w:tcBorders>
            <w:shd w:val="clear" w:color="auto" w:fill="C5E0B3" w:themeFill="accent6" w:themeFillTint="66"/>
            <w:tcMar>
              <w:top w:w="150" w:type="dxa"/>
              <w:left w:w="225" w:type="dxa"/>
              <w:bottom w:w="150" w:type="dxa"/>
              <w:right w:w="225" w:type="dxa"/>
            </w:tcMar>
            <w:vAlign w:val="center"/>
          </w:tcPr>
          <w:p>
            <w:pPr>
              <w:pStyle w:val="12"/>
              <w:spacing w:before="0" w:beforeAutospacing="0" w:after="0" w:afterAutospacing="0" w:line="240" w:lineRule="exact"/>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董丽红</w:t>
            </w:r>
          </w:p>
        </w:tc>
        <w:tc>
          <w:tcPr>
            <w:tcW w:w="1225" w:type="dxa"/>
            <w:vMerge w:val="continue"/>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p>
        </w:tc>
      </w:tr>
      <w:tr>
        <w:tblPrEx>
          <w:tblBorders>
            <w:top w:val="single" w:color="333333" w:sz="8" w:space="0"/>
            <w:left w:val="single" w:color="333333" w:sz="8" w:space="0"/>
            <w:bottom w:val="single" w:color="333333" w:sz="8" w:space="0"/>
            <w:right w:val="single" w:color="333333" w:sz="8" w:space="0"/>
            <w:insideH w:val="single" w:color="333333" w:sz="8" w:space="0"/>
            <w:insideV w:val="single" w:color="333333" w:sz="8" w:space="0"/>
          </w:tblBorders>
          <w:shd w:val="clear" w:color="auto" w:fill="000000"/>
          <w:tblCellMar>
            <w:top w:w="0" w:type="dxa"/>
            <w:left w:w="0" w:type="dxa"/>
            <w:bottom w:w="0" w:type="dxa"/>
            <w:right w:w="0" w:type="dxa"/>
          </w:tblCellMar>
        </w:tblPrEx>
        <w:trPr>
          <w:jc w:val="center"/>
        </w:trPr>
        <w:tc>
          <w:tcPr>
            <w:tcW w:w="740" w:type="dxa"/>
            <w:tcBorders>
              <w:tl2br w:val="nil"/>
              <w:tr2bl w:val="nil"/>
            </w:tcBorders>
            <w:shd w:val="clear" w:color="auto" w:fill="D9E2F3" w:themeFill="accent5" w:themeFillTint="33"/>
            <w:tcMar>
              <w:top w:w="150" w:type="dxa"/>
              <w:left w:w="225" w:type="dxa"/>
              <w:bottom w:w="150" w:type="dxa"/>
              <w:right w:w="225" w:type="dxa"/>
            </w:tcMar>
            <w:vAlign w:val="center"/>
          </w:tcPr>
          <w:p>
            <w:pPr>
              <w:spacing w:line="240" w:lineRule="exact"/>
              <w:jc w:val="center"/>
              <w:rPr>
                <w:rFonts w:asciiTheme="minorEastAsia" w:hAnsiTheme="minorEastAsia" w:eastAsiaTheme="minorEastAsia" w:cstheme="minorEastAsia"/>
                <w:sz w:val="22"/>
                <w:szCs w:val="22"/>
              </w:rPr>
            </w:pPr>
            <w:r>
              <w:rPr>
                <w:rFonts w:hint="eastAsia" w:ascii="宋体" w:hAnsi="宋体"/>
                <w:szCs w:val="18"/>
              </w:rPr>
              <w:t>10</w:t>
            </w:r>
          </w:p>
        </w:tc>
        <w:tc>
          <w:tcPr>
            <w:tcW w:w="2841" w:type="dxa"/>
            <w:tcBorders>
              <w:tl2br w:val="nil"/>
              <w:tr2bl w:val="nil"/>
            </w:tcBorders>
            <w:shd w:val="clear" w:color="auto" w:fill="C5E0B3" w:themeFill="accent6" w:themeFillTint="66"/>
            <w:tcMar>
              <w:top w:w="150" w:type="dxa"/>
              <w:left w:w="225" w:type="dxa"/>
              <w:bottom w:w="150" w:type="dxa"/>
              <w:right w:w="225" w:type="dxa"/>
            </w:tcMar>
            <w:vAlign w:val="center"/>
          </w:tcPr>
          <w:p>
            <w:pPr>
              <w:pStyle w:val="12"/>
              <w:spacing w:before="0" w:beforeAutospacing="0" w:after="0" w:afterAutospacing="0" w:line="240" w:lineRule="exact"/>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数字媒体技术应用</w:t>
            </w:r>
          </w:p>
        </w:tc>
        <w:tc>
          <w:tcPr>
            <w:tcW w:w="3607" w:type="dxa"/>
            <w:tcBorders>
              <w:tl2br w:val="nil"/>
              <w:tr2bl w:val="nil"/>
            </w:tcBorders>
            <w:shd w:val="clear" w:color="auto" w:fill="C5E0B3" w:themeFill="accent6" w:themeFillTint="66"/>
            <w:tcMar>
              <w:top w:w="150" w:type="dxa"/>
              <w:left w:w="225" w:type="dxa"/>
              <w:bottom w:w="150" w:type="dxa"/>
              <w:right w:w="225" w:type="dxa"/>
            </w:tcMar>
            <w:vAlign w:val="center"/>
          </w:tcPr>
          <w:p>
            <w:pPr>
              <w:pStyle w:val="12"/>
              <w:spacing w:before="0" w:beforeAutospacing="0" w:after="0" w:afterAutospacing="0" w:line="240" w:lineRule="exact"/>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郑州市金融学校</w:t>
            </w:r>
          </w:p>
        </w:tc>
        <w:tc>
          <w:tcPr>
            <w:tcW w:w="1225" w:type="dxa"/>
            <w:tcBorders>
              <w:tl2br w:val="nil"/>
              <w:tr2bl w:val="nil"/>
            </w:tcBorders>
            <w:shd w:val="clear" w:color="auto" w:fill="C5E0B3" w:themeFill="accent6" w:themeFillTint="66"/>
            <w:tcMar>
              <w:top w:w="150" w:type="dxa"/>
              <w:left w:w="225" w:type="dxa"/>
              <w:bottom w:w="150" w:type="dxa"/>
              <w:right w:w="225" w:type="dxa"/>
            </w:tcMar>
            <w:vAlign w:val="center"/>
          </w:tcPr>
          <w:p>
            <w:pPr>
              <w:pStyle w:val="12"/>
              <w:spacing w:before="0" w:beforeAutospacing="0" w:after="0" w:afterAutospacing="0" w:line="240" w:lineRule="exact"/>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董永山</w:t>
            </w:r>
          </w:p>
        </w:tc>
        <w:tc>
          <w:tcPr>
            <w:tcW w:w="1225" w:type="dxa"/>
            <w:vMerge w:val="continue"/>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p>
        </w:tc>
      </w:tr>
      <w:tr>
        <w:tblPrEx>
          <w:tblBorders>
            <w:top w:val="single" w:color="333333" w:sz="8" w:space="0"/>
            <w:left w:val="single" w:color="333333" w:sz="8" w:space="0"/>
            <w:bottom w:val="single" w:color="333333" w:sz="8" w:space="0"/>
            <w:right w:val="single" w:color="333333" w:sz="8" w:space="0"/>
            <w:insideH w:val="single" w:color="333333" w:sz="8" w:space="0"/>
            <w:insideV w:val="single" w:color="333333" w:sz="8" w:space="0"/>
          </w:tblBorders>
          <w:shd w:val="clear" w:color="auto" w:fill="000000"/>
          <w:tblCellMar>
            <w:top w:w="0" w:type="dxa"/>
            <w:left w:w="0" w:type="dxa"/>
            <w:bottom w:w="0" w:type="dxa"/>
            <w:right w:w="0" w:type="dxa"/>
          </w:tblCellMar>
        </w:tblPrEx>
        <w:trPr>
          <w:jc w:val="center"/>
        </w:trPr>
        <w:tc>
          <w:tcPr>
            <w:tcW w:w="740" w:type="dxa"/>
            <w:tcBorders>
              <w:tl2br w:val="nil"/>
              <w:tr2bl w:val="nil"/>
            </w:tcBorders>
            <w:shd w:val="clear" w:color="auto" w:fill="D9E2F3" w:themeFill="accent5" w:themeFillTint="33"/>
            <w:tcMar>
              <w:top w:w="150" w:type="dxa"/>
              <w:left w:w="225" w:type="dxa"/>
              <w:bottom w:w="150" w:type="dxa"/>
              <w:right w:w="225" w:type="dxa"/>
            </w:tcMar>
            <w:vAlign w:val="center"/>
          </w:tcPr>
          <w:p>
            <w:pPr>
              <w:spacing w:line="240" w:lineRule="exact"/>
              <w:jc w:val="center"/>
              <w:rPr>
                <w:rFonts w:asciiTheme="minorEastAsia" w:hAnsiTheme="minorEastAsia" w:eastAsiaTheme="minorEastAsia" w:cstheme="minorEastAsia"/>
                <w:sz w:val="22"/>
                <w:szCs w:val="22"/>
              </w:rPr>
            </w:pPr>
            <w:r>
              <w:rPr>
                <w:rFonts w:hint="eastAsia" w:ascii="宋体" w:hAnsi="宋体"/>
                <w:szCs w:val="18"/>
              </w:rPr>
              <w:t>11</w:t>
            </w:r>
          </w:p>
        </w:tc>
        <w:tc>
          <w:tcPr>
            <w:tcW w:w="2841" w:type="dxa"/>
            <w:tcBorders>
              <w:tl2br w:val="nil"/>
              <w:tr2bl w:val="nil"/>
            </w:tcBorders>
            <w:shd w:val="clear" w:color="auto" w:fill="C5E0B3" w:themeFill="accent6" w:themeFillTint="66"/>
            <w:tcMar>
              <w:top w:w="150" w:type="dxa"/>
              <w:left w:w="225" w:type="dxa"/>
              <w:bottom w:w="150" w:type="dxa"/>
              <w:right w:w="225" w:type="dxa"/>
            </w:tcMar>
            <w:vAlign w:val="center"/>
          </w:tcPr>
          <w:p>
            <w:pPr>
              <w:pStyle w:val="12"/>
              <w:spacing w:before="0" w:beforeAutospacing="0" w:after="0" w:afterAutospacing="0" w:line="240" w:lineRule="exact"/>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酒店服务与管理</w:t>
            </w:r>
          </w:p>
        </w:tc>
        <w:tc>
          <w:tcPr>
            <w:tcW w:w="3607" w:type="dxa"/>
            <w:tcBorders>
              <w:tl2br w:val="nil"/>
              <w:tr2bl w:val="nil"/>
            </w:tcBorders>
            <w:shd w:val="clear" w:color="auto" w:fill="C5E0B3" w:themeFill="accent6" w:themeFillTint="66"/>
            <w:tcMar>
              <w:top w:w="150" w:type="dxa"/>
              <w:left w:w="225" w:type="dxa"/>
              <w:bottom w:w="150" w:type="dxa"/>
              <w:right w:w="225" w:type="dxa"/>
            </w:tcMar>
            <w:vAlign w:val="center"/>
          </w:tcPr>
          <w:p>
            <w:pPr>
              <w:pStyle w:val="12"/>
              <w:spacing w:before="0" w:beforeAutospacing="0" w:after="0" w:afterAutospacing="0" w:line="240" w:lineRule="exact"/>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郑州市财经学校</w:t>
            </w:r>
          </w:p>
        </w:tc>
        <w:tc>
          <w:tcPr>
            <w:tcW w:w="1225" w:type="dxa"/>
            <w:tcBorders>
              <w:tl2br w:val="nil"/>
              <w:tr2bl w:val="nil"/>
            </w:tcBorders>
            <w:shd w:val="clear" w:color="auto" w:fill="C5E0B3" w:themeFill="accent6" w:themeFillTint="66"/>
            <w:tcMar>
              <w:top w:w="150" w:type="dxa"/>
              <w:left w:w="225" w:type="dxa"/>
              <w:bottom w:w="150" w:type="dxa"/>
              <w:right w:w="225" w:type="dxa"/>
            </w:tcMar>
            <w:vAlign w:val="center"/>
          </w:tcPr>
          <w:p>
            <w:pPr>
              <w:pStyle w:val="12"/>
              <w:spacing w:before="0" w:beforeAutospacing="0" w:after="0" w:afterAutospacing="0" w:line="240" w:lineRule="exact"/>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 xml:space="preserve">陈 </w:t>
            </w:r>
            <w:r>
              <w:rPr>
                <w:rFonts w:hint="eastAsia" w:asciiTheme="minorEastAsia" w:hAnsiTheme="minorEastAsia" w:cstheme="minorEastAsia"/>
                <w:sz w:val="22"/>
                <w:szCs w:val="22"/>
              </w:rPr>
              <w:t xml:space="preserve"> </w:t>
            </w:r>
            <w:r>
              <w:rPr>
                <w:rFonts w:hint="eastAsia" w:asciiTheme="minorEastAsia" w:hAnsiTheme="minorEastAsia" w:eastAsiaTheme="minorEastAsia" w:cstheme="minorEastAsia"/>
                <w:sz w:val="22"/>
                <w:szCs w:val="22"/>
              </w:rPr>
              <w:t>初</w:t>
            </w:r>
          </w:p>
        </w:tc>
        <w:tc>
          <w:tcPr>
            <w:tcW w:w="1225" w:type="dxa"/>
            <w:vMerge w:val="continue"/>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p>
        </w:tc>
      </w:tr>
      <w:tr>
        <w:tblPrEx>
          <w:tblBorders>
            <w:top w:val="single" w:color="333333" w:sz="8" w:space="0"/>
            <w:left w:val="single" w:color="333333" w:sz="8" w:space="0"/>
            <w:bottom w:val="single" w:color="333333" w:sz="8" w:space="0"/>
            <w:right w:val="single" w:color="333333" w:sz="8" w:space="0"/>
            <w:insideH w:val="single" w:color="333333" w:sz="8" w:space="0"/>
            <w:insideV w:val="single" w:color="333333" w:sz="8" w:space="0"/>
          </w:tblBorders>
          <w:shd w:val="clear" w:color="auto" w:fill="000000"/>
          <w:tblCellMar>
            <w:top w:w="0" w:type="dxa"/>
            <w:left w:w="0" w:type="dxa"/>
            <w:bottom w:w="0" w:type="dxa"/>
            <w:right w:w="0" w:type="dxa"/>
          </w:tblCellMar>
        </w:tblPrEx>
        <w:trPr>
          <w:jc w:val="center"/>
        </w:trPr>
        <w:tc>
          <w:tcPr>
            <w:tcW w:w="740" w:type="dxa"/>
            <w:tcBorders>
              <w:tl2br w:val="nil"/>
              <w:tr2bl w:val="nil"/>
            </w:tcBorders>
            <w:shd w:val="clear" w:color="auto" w:fill="D9E2F3" w:themeFill="accent5" w:themeFillTint="33"/>
            <w:tcMar>
              <w:top w:w="150" w:type="dxa"/>
              <w:left w:w="225" w:type="dxa"/>
              <w:bottom w:w="150" w:type="dxa"/>
              <w:right w:w="225" w:type="dxa"/>
            </w:tcMar>
            <w:vAlign w:val="center"/>
          </w:tcPr>
          <w:p>
            <w:pPr>
              <w:spacing w:line="240" w:lineRule="exact"/>
              <w:jc w:val="center"/>
              <w:rPr>
                <w:rFonts w:asciiTheme="minorEastAsia" w:hAnsiTheme="minorEastAsia" w:eastAsiaTheme="minorEastAsia" w:cstheme="minorEastAsia"/>
                <w:sz w:val="22"/>
                <w:szCs w:val="22"/>
              </w:rPr>
            </w:pPr>
            <w:r>
              <w:rPr>
                <w:rFonts w:hint="eastAsia" w:ascii="宋体" w:hAnsi="宋体"/>
                <w:szCs w:val="18"/>
              </w:rPr>
              <w:t>12</w:t>
            </w:r>
          </w:p>
        </w:tc>
        <w:tc>
          <w:tcPr>
            <w:tcW w:w="2841" w:type="dxa"/>
            <w:tcBorders>
              <w:tl2br w:val="nil"/>
              <w:tr2bl w:val="nil"/>
            </w:tcBorders>
            <w:shd w:val="clear" w:color="auto" w:fill="C5E0B3" w:themeFill="accent6" w:themeFillTint="66"/>
            <w:tcMar>
              <w:top w:w="150" w:type="dxa"/>
              <w:left w:w="225" w:type="dxa"/>
              <w:bottom w:w="150" w:type="dxa"/>
              <w:right w:w="225" w:type="dxa"/>
            </w:tcMar>
            <w:vAlign w:val="center"/>
          </w:tcPr>
          <w:p>
            <w:pPr>
              <w:pStyle w:val="12"/>
              <w:spacing w:before="0" w:beforeAutospacing="0" w:after="0" w:afterAutospacing="0" w:line="240" w:lineRule="exact"/>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现代农艺技术</w:t>
            </w:r>
          </w:p>
        </w:tc>
        <w:tc>
          <w:tcPr>
            <w:tcW w:w="3607" w:type="dxa"/>
            <w:tcBorders>
              <w:tl2br w:val="nil"/>
              <w:tr2bl w:val="nil"/>
            </w:tcBorders>
            <w:shd w:val="clear" w:color="auto" w:fill="C5E0B3" w:themeFill="accent6" w:themeFillTint="66"/>
            <w:tcMar>
              <w:top w:w="150" w:type="dxa"/>
              <w:left w:w="225" w:type="dxa"/>
              <w:bottom w:w="150" w:type="dxa"/>
              <w:right w:w="225" w:type="dxa"/>
            </w:tcMar>
            <w:vAlign w:val="center"/>
          </w:tcPr>
          <w:p>
            <w:pPr>
              <w:pStyle w:val="12"/>
              <w:spacing w:before="0" w:beforeAutospacing="0" w:after="0" w:afterAutospacing="0" w:line="240" w:lineRule="exact"/>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新郑市中等专业学校</w:t>
            </w:r>
          </w:p>
        </w:tc>
        <w:tc>
          <w:tcPr>
            <w:tcW w:w="1225" w:type="dxa"/>
            <w:tcBorders>
              <w:tl2br w:val="nil"/>
              <w:tr2bl w:val="nil"/>
            </w:tcBorders>
            <w:shd w:val="clear" w:color="auto" w:fill="C5E0B3" w:themeFill="accent6" w:themeFillTint="66"/>
            <w:tcMar>
              <w:top w:w="150" w:type="dxa"/>
              <w:left w:w="225" w:type="dxa"/>
              <w:bottom w:w="150" w:type="dxa"/>
              <w:right w:w="225" w:type="dxa"/>
            </w:tcMar>
            <w:vAlign w:val="center"/>
          </w:tcPr>
          <w:p>
            <w:pPr>
              <w:pStyle w:val="12"/>
              <w:spacing w:before="0" w:beforeAutospacing="0" w:after="0" w:afterAutospacing="0" w:line="240" w:lineRule="exact"/>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朱永瑛</w:t>
            </w:r>
          </w:p>
        </w:tc>
        <w:tc>
          <w:tcPr>
            <w:tcW w:w="1225" w:type="dxa"/>
            <w:vMerge w:val="continue"/>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p>
        </w:tc>
      </w:tr>
      <w:tr>
        <w:tblPrEx>
          <w:tblBorders>
            <w:top w:val="single" w:color="333333" w:sz="8" w:space="0"/>
            <w:left w:val="single" w:color="333333" w:sz="8" w:space="0"/>
            <w:bottom w:val="single" w:color="333333" w:sz="8" w:space="0"/>
            <w:right w:val="single" w:color="333333" w:sz="8" w:space="0"/>
            <w:insideH w:val="single" w:color="333333" w:sz="8" w:space="0"/>
            <w:insideV w:val="single" w:color="333333" w:sz="8" w:space="0"/>
          </w:tblBorders>
          <w:shd w:val="clear" w:color="auto" w:fill="000000"/>
          <w:tblCellMar>
            <w:top w:w="0" w:type="dxa"/>
            <w:left w:w="0" w:type="dxa"/>
            <w:bottom w:w="0" w:type="dxa"/>
            <w:right w:w="0" w:type="dxa"/>
          </w:tblCellMar>
        </w:tblPrEx>
        <w:trPr>
          <w:jc w:val="center"/>
        </w:trPr>
        <w:tc>
          <w:tcPr>
            <w:tcW w:w="740" w:type="dxa"/>
            <w:tcBorders>
              <w:tl2br w:val="nil"/>
              <w:tr2bl w:val="nil"/>
            </w:tcBorders>
            <w:shd w:val="clear" w:color="auto" w:fill="D9E2F3" w:themeFill="accent5" w:themeFillTint="33"/>
            <w:tcMar>
              <w:top w:w="150" w:type="dxa"/>
              <w:left w:w="225" w:type="dxa"/>
              <w:bottom w:w="150" w:type="dxa"/>
              <w:right w:w="225" w:type="dxa"/>
            </w:tcMar>
            <w:vAlign w:val="center"/>
          </w:tcPr>
          <w:p>
            <w:pPr>
              <w:spacing w:line="240" w:lineRule="exact"/>
              <w:jc w:val="center"/>
              <w:rPr>
                <w:rFonts w:asciiTheme="minorEastAsia" w:hAnsiTheme="minorEastAsia" w:eastAsiaTheme="minorEastAsia" w:cstheme="minorEastAsia"/>
                <w:sz w:val="22"/>
                <w:szCs w:val="22"/>
              </w:rPr>
            </w:pPr>
            <w:r>
              <w:rPr>
                <w:rFonts w:hint="eastAsia" w:ascii="宋体" w:hAnsi="宋体"/>
                <w:szCs w:val="18"/>
              </w:rPr>
              <w:t>13</w:t>
            </w:r>
          </w:p>
        </w:tc>
        <w:tc>
          <w:tcPr>
            <w:tcW w:w="2841" w:type="dxa"/>
            <w:tcBorders>
              <w:tl2br w:val="nil"/>
              <w:tr2bl w:val="nil"/>
            </w:tcBorders>
            <w:shd w:val="clear" w:color="auto" w:fill="C5E0B3" w:themeFill="accent6" w:themeFillTint="66"/>
            <w:tcMar>
              <w:top w:w="150" w:type="dxa"/>
              <w:left w:w="225" w:type="dxa"/>
              <w:bottom w:w="150" w:type="dxa"/>
              <w:right w:w="225" w:type="dxa"/>
            </w:tcMar>
            <w:vAlign w:val="center"/>
          </w:tcPr>
          <w:p>
            <w:pPr>
              <w:pStyle w:val="12"/>
              <w:spacing w:before="0" w:beforeAutospacing="0" w:after="0" w:afterAutospacing="0" w:line="240" w:lineRule="exact"/>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舞蹈表演</w:t>
            </w:r>
          </w:p>
        </w:tc>
        <w:tc>
          <w:tcPr>
            <w:tcW w:w="3607" w:type="dxa"/>
            <w:tcBorders>
              <w:tl2br w:val="nil"/>
              <w:tr2bl w:val="nil"/>
            </w:tcBorders>
            <w:shd w:val="clear" w:color="auto" w:fill="C5E0B3" w:themeFill="accent6" w:themeFillTint="66"/>
            <w:tcMar>
              <w:top w:w="150" w:type="dxa"/>
              <w:left w:w="225" w:type="dxa"/>
              <w:bottom w:w="150" w:type="dxa"/>
              <w:right w:w="225" w:type="dxa"/>
            </w:tcMar>
            <w:vAlign w:val="center"/>
          </w:tcPr>
          <w:p>
            <w:pPr>
              <w:pStyle w:val="12"/>
              <w:spacing w:before="0" w:beforeAutospacing="0" w:after="0" w:afterAutospacing="0" w:line="240" w:lineRule="exact"/>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黄河科技学院附属中等专业学校</w:t>
            </w:r>
          </w:p>
        </w:tc>
        <w:tc>
          <w:tcPr>
            <w:tcW w:w="1225" w:type="dxa"/>
            <w:tcBorders>
              <w:tl2br w:val="nil"/>
              <w:tr2bl w:val="nil"/>
            </w:tcBorders>
            <w:shd w:val="clear" w:color="auto" w:fill="C5E0B3" w:themeFill="accent6" w:themeFillTint="66"/>
            <w:tcMar>
              <w:top w:w="150" w:type="dxa"/>
              <w:left w:w="225" w:type="dxa"/>
              <w:bottom w:w="150" w:type="dxa"/>
              <w:right w:w="225" w:type="dxa"/>
            </w:tcMar>
            <w:vAlign w:val="center"/>
          </w:tcPr>
          <w:p>
            <w:pPr>
              <w:pStyle w:val="12"/>
              <w:spacing w:before="0" w:beforeAutospacing="0" w:after="0" w:afterAutospacing="0" w:line="240" w:lineRule="exact"/>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张向荣</w:t>
            </w:r>
          </w:p>
        </w:tc>
        <w:tc>
          <w:tcPr>
            <w:tcW w:w="1225" w:type="dxa"/>
            <w:vMerge w:val="continue"/>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p>
        </w:tc>
      </w:tr>
      <w:tr>
        <w:tblPrEx>
          <w:tblBorders>
            <w:top w:val="single" w:color="333333" w:sz="8" w:space="0"/>
            <w:left w:val="single" w:color="333333" w:sz="8" w:space="0"/>
            <w:bottom w:val="single" w:color="333333" w:sz="8" w:space="0"/>
            <w:right w:val="single" w:color="333333" w:sz="8" w:space="0"/>
            <w:insideH w:val="single" w:color="333333" w:sz="8" w:space="0"/>
            <w:insideV w:val="single" w:color="333333" w:sz="8" w:space="0"/>
          </w:tblBorders>
          <w:shd w:val="clear" w:color="auto" w:fill="000000"/>
          <w:tblCellMar>
            <w:top w:w="0" w:type="dxa"/>
            <w:left w:w="0" w:type="dxa"/>
            <w:bottom w:w="0" w:type="dxa"/>
            <w:right w:w="0" w:type="dxa"/>
          </w:tblCellMar>
        </w:tblPrEx>
        <w:trPr>
          <w:jc w:val="center"/>
        </w:trPr>
        <w:tc>
          <w:tcPr>
            <w:tcW w:w="740" w:type="dxa"/>
            <w:tcBorders>
              <w:tl2br w:val="nil"/>
              <w:tr2bl w:val="nil"/>
            </w:tcBorders>
            <w:shd w:val="clear" w:color="auto" w:fill="D9E2F3" w:themeFill="accent5" w:themeFillTint="33"/>
            <w:tcMar>
              <w:top w:w="150" w:type="dxa"/>
              <w:left w:w="225" w:type="dxa"/>
              <w:bottom w:w="150" w:type="dxa"/>
              <w:right w:w="225" w:type="dxa"/>
            </w:tcMar>
            <w:vAlign w:val="center"/>
          </w:tcPr>
          <w:p>
            <w:pPr>
              <w:spacing w:line="240" w:lineRule="exact"/>
              <w:jc w:val="center"/>
              <w:rPr>
                <w:rFonts w:asciiTheme="minorEastAsia" w:hAnsiTheme="minorEastAsia" w:eastAsiaTheme="minorEastAsia" w:cstheme="minorEastAsia"/>
                <w:sz w:val="22"/>
                <w:szCs w:val="22"/>
              </w:rPr>
            </w:pPr>
            <w:r>
              <w:rPr>
                <w:rFonts w:hint="eastAsia" w:ascii="宋体" w:hAnsi="宋体"/>
                <w:szCs w:val="18"/>
              </w:rPr>
              <w:t>14</w:t>
            </w:r>
          </w:p>
        </w:tc>
        <w:tc>
          <w:tcPr>
            <w:tcW w:w="2841" w:type="dxa"/>
            <w:tcBorders>
              <w:tl2br w:val="nil"/>
              <w:tr2bl w:val="nil"/>
            </w:tcBorders>
            <w:shd w:val="clear" w:color="auto" w:fill="C5E0B3" w:themeFill="accent6" w:themeFillTint="66"/>
            <w:tcMar>
              <w:top w:w="150" w:type="dxa"/>
              <w:left w:w="225" w:type="dxa"/>
              <w:bottom w:w="150" w:type="dxa"/>
              <w:right w:w="225" w:type="dxa"/>
            </w:tcMar>
            <w:vAlign w:val="center"/>
          </w:tcPr>
          <w:p>
            <w:pPr>
              <w:pStyle w:val="12"/>
              <w:spacing w:before="0" w:beforeAutospacing="0" w:after="0" w:afterAutospacing="0" w:line="240" w:lineRule="exact"/>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市场营销</w:t>
            </w:r>
          </w:p>
        </w:tc>
        <w:tc>
          <w:tcPr>
            <w:tcW w:w="3607" w:type="dxa"/>
            <w:tcBorders>
              <w:tl2br w:val="nil"/>
              <w:tr2bl w:val="nil"/>
            </w:tcBorders>
            <w:shd w:val="clear" w:color="auto" w:fill="C5E0B3" w:themeFill="accent6" w:themeFillTint="66"/>
            <w:tcMar>
              <w:top w:w="150" w:type="dxa"/>
              <w:left w:w="225" w:type="dxa"/>
              <w:bottom w:w="150" w:type="dxa"/>
              <w:right w:w="225" w:type="dxa"/>
            </w:tcMar>
            <w:vAlign w:val="center"/>
          </w:tcPr>
          <w:p>
            <w:pPr>
              <w:pStyle w:val="12"/>
              <w:spacing w:before="0" w:beforeAutospacing="0" w:after="0" w:afterAutospacing="0" w:line="240" w:lineRule="exact"/>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郑州外资企业管理中等专业学校</w:t>
            </w:r>
          </w:p>
        </w:tc>
        <w:tc>
          <w:tcPr>
            <w:tcW w:w="1225" w:type="dxa"/>
            <w:tcBorders>
              <w:tl2br w:val="nil"/>
              <w:tr2bl w:val="nil"/>
            </w:tcBorders>
            <w:shd w:val="clear" w:color="auto" w:fill="C5E0B3" w:themeFill="accent6" w:themeFillTint="66"/>
            <w:tcMar>
              <w:top w:w="150" w:type="dxa"/>
              <w:left w:w="225" w:type="dxa"/>
              <w:bottom w:w="150" w:type="dxa"/>
              <w:right w:w="225" w:type="dxa"/>
            </w:tcMar>
            <w:vAlign w:val="center"/>
          </w:tcPr>
          <w:p>
            <w:pPr>
              <w:pStyle w:val="12"/>
              <w:spacing w:before="0" w:beforeAutospacing="0" w:after="0" w:afterAutospacing="0" w:line="240" w:lineRule="exact"/>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姜兴国</w:t>
            </w:r>
          </w:p>
        </w:tc>
        <w:tc>
          <w:tcPr>
            <w:tcW w:w="1225" w:type="dxa"/>
            <w:vMerge w:val="continue"/>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p>
        </w:tc>
      </w:tr>
      <w:tr>
        <w:tblPrEx>
          <w:tblBorders>
            <w:top w:val="single" w:color="333333" w:sz="8" w:space="0"/>
            <w:left w:val="single" w:color="333333" w:sz="8" w:space="0"/>
            <w:bottom w:val="single" w:color="333333" w:sz="8" w:space="0"/>
            <w:right w:val="single" w:color="333333" w:sz="8" w:space="0"/>
            <w:insideH w:val="single" w:color="333333" w:sz="8" w:space="0"/>
            <w:insideV w:val="single" w:color="333333" w:sz="8" w:space="0"/>
          </w:tblBorders>
          <w:shd w:val="clear" w:color="auto" w:fill="000000"/>
          <w:tblCellMar>
            <w:top w:w="0" w:type="dxa"/>
            <w:left w:w="0" w:type="dxa"/>
            <w:bottom w:w="0" w:type="dxa"/>
            <w:right w:w="0" w:type="dxa"/>
          </w:tblCellMar>
        </w:tblPrEx>
        <w:trPr>
          <w:jc w:val="center"/>
        </w:trPr>
        <w:tc>
          <w:tcPr>
            <w:tcW w:w="740" w:type="dxa"/>
            <w:tcBorders>
              <w:tl2br w:val="nil"/>
              <w:tr2bl w:val="nil"/>
            </w:tcBorders>
            <w:shd w:val="clear" w:color="auto" w:fill="D9E2F3" w:themeFill="accent5" w:themeFillTint="33"/>
            <w:tcMar>
              <w:top w:w="150" w:type="dxa"/>
              <w:left w:w="225" w:type="dxa"/>
              <w:bottom w:w="150" w:type="dxa"/>
              <w:right w:w="225" w:type="dxa"/>
            </w:tcMar>
            <w:vAlign w:val="center"/>
          </w:tcPr>
          <w:p>
            <w:pPr>
              <w:spacing w:line="240" w:lineRule="exact"/>
              <w:jc w:val="center"/>
              <w:rPr>
                <w:rFonts w:asciiTheme="minorEastAsia" w:hAnsiTheme="minorEastAsia" w:eastAsiaTheme="minorEastAsia" w:cstheme="minorEastAsia"/>
                <w:sz w:val="22"/>
                <w:szCs w:val="22"/>
                <w:shd w:val="clear" w:color="auto" w:fill="FFFFFF"/>
              </w:rPr>
            </w:pPr>
            <w:r>
              <w:rPr>
                <w:rFonts w:hint="eastAsia" w:ascii="宋体" w:hAnsi="宋体"/>
                <w:szCs w:val="18"/>
              </w:rPr>
              <w:t>15</w:t>
            </w:r>
          </w:p>
        </w:tc>
        <w:tc>
          <w:tcPr>
            <w:tcW w:w="2841"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学前教育</w:t>
            </w:r>
          </w:p>
        </w:tc>
        <w:tc>
          <w:tcPr>
            <w:tcW w:w="3607"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郑州艺术幼儿师范学校</w:t>
            </w:r>
          </w:p>
        </w:tc>
        <w:tc>
          <w:tcPr>
            <w:tcW w:w="1225"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乔  欣</w:t>
            </w:r>
          </w:p>
        </w:tc>
        <w:tc>
          <w:tcPr>
            <w:tcW w:w="1225" w:type="dxa"/>
            <w:vMerge w:val="restart"/>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第三批</w:t>
            </w:r>
          </w:p>
          <w:p>
            <w:pPr>
              <w:jc w:val="center"/>
            </w:pPr>
            <w:r>
              <w:rPr>
                <w:rFonts w:hint="eastAsia"/>
              </w:rPr>
              <w:t>8个</w:t>
            </w:r>
          </w:p>
        </w:tc>
      </w:tr>
      <w:tr>
        <w:tblPrEx>
          <w:tblBorders>
            <w:top w:val="single" w:color="333333" w:sz="8" w:space="0"/>
            <w:left w:val="single" w:color="333333" w:sz="8" w:space="0"/>
            <w:bottom w:val="single" w:color="333333" w:sz="8" w:space="0"/>
            <w:right w:val="single" w:color="333333" w:sz="8" w:space="0"/>
            <w:insideH w:val="single" w:color="333333" w:sz="8" w:space="0"/>
            <w:insideV w:val="single" w:color="333333" w:sz="8" w:space="0"/>
          </w:tblBorders>
          <w:shd w:val="clear" w:color="auto" w:fill="000000"/>
          <w:tblCellMar>
            <w:top w:w="0" w:type="dxa"/>
            <w:left w:w="0" w:type="dxa"/>
            <w:bottom w:w="0" w:type="dxa"/>
            <w:right w:w="0" w:type="dxa"/>
          </w:tblCellMar>
        </w:tblPrEx>
        <w:trPr>
          <w:jc w:val="center"/>
        </w:trPr>
        <w:tc>
          <w:tcPr>
            <w:tcW w:w="740" w:type="dxa"/>
            <w:tcBorders>
              <w:tl2br w:val="nil"/>
              <w:tr2bl w:val="nil"/>
            </w:tcBorders>
            <w:shd w:val="clear" w:color="auto" w:fill="D9E2F3" w:themeFill="accent5" w:themeFillTint="33"/>
            <w:tcMar>
              <w:top w:w="150" w:type="dxa"/>
              <w:left w:w="225" w:type="dxa"/>
              <w:bottom w:w="150" w:type="dxa"/>
              <w:right w:w="225" w:type="dxa"/>
            </w:tcMar>
            <w:vAlign w:val="center"/>
          </w:tcPr>
          <w:p>
            <w:pPr>
              <w:spacing w:line="240" w:lineRule="exact"/>
              <w:jc w:val="center"/>
              <w:rPr>
                <w:rFonts w:asciiTheme="minorEastAsia" w:hAnsiTheme="minorEastAsia" w:eastAsiaTheme="minorEastAsia" w:cstheme="minorEastAsia"/>
                <w:sz w:val="22"/>
                <w:szCs w:val="22"/>
                <w:shd w:val="clear" w:color="auto" w:fill="FFFFFF"/>
              </w:rPr>
            </w:pPr>
            <w:r>
              <w:rPr>
                <w:rFonts w:hint="eastAsia" w:ascii="宋体" w:hAnsi="宋体"/>
                <w:szCs w:val="18"/>
              </w:rPr>
              <w:t>16</w:t>
            </w:r>
          </w:p>
        </w:tc>
        <w:tc>
          <w:tcPr>
            <w:tcW w:w="2841"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物流服务与管理</w:t>
            </w:r>
          </w:p>
        </w:tc>
        <w:tc>
          <w:tcPr>
            <w:tcW w:w="3607"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郑州市经济贸易学校</w:t>
            </w:r>
          </w:p>
        </w:tc>
        <w:tc>
          <w:tcPr>
            <w:tcW w:w="1225"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徐文娟</w:t>
            </w:r>
          </w:p>
        </w:tc>
        <w:tc>
          <w:tcPr>
            <w:tcW w:w="1225" w:type="dxa"/>
            <w:vMerge w:val="continue"/>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p>
        </w:tc>
      </w:tr>
      <w:tr>
        <w:tblPrEx>
          <w:tblBorders>
            <w:top w:val="single" w:color="333333" w:sz="8" w:space="0"/>
            <w:left w:val="single" w:color="333333" w:sz="8" w:space="0"/>
            <w:bottom w:val="single" w:color="333333" w:sz="8" w:space="0"/>
            <w:right w:val="single" w:color="333333" w:sz="8" w:space="0"/>
            <w:insideH w:val="single" w:color="333333" w:sz="8" w:space="0"/>
            <w:insideV w:val="single" w:color="333333" w:sz="8" w:space="0"/>
          </w:tblBorders>
          <w:shd w:val="clear" w:color="auto" w:fill="000000"/>
          <w:tblCellMar>
            <w:top w:w="0" w:type="dxa"/>
            <w:left w:w="0" w:type="dxa"/>
            <w:bottom w:w="0" w:type="dxa"/>
            <w:right w:w="0" w:type="dxa"/>
          </w:tblCellMar>
        </w:tblPrEx>
        <w:trPr>
          <w:jc w:val="center"/>
        </w:trPr>
        <w:tc>
          <w:tcPr>
            <w:tcW w:w="740" w:type="dxa"/>
            <w:tcBorders>
              <w:tl2br w:val="nil"/>
              <w:tr2bl w:val="nil"/>
            </w:tcBorders>
            <w:shd w:val="clear" w:color="auto" w:fill="D9E2F3" w:themeFill="accent5" w:themeFillTint="33"/>
            <w:tcMar>
              <w:top w:w="150" w:type="dxa"/>
              <w:left w:w="225" w:type="dxa"/>
              <w:bottom w:w="150" w:type="dxa"/>
              <w:right w:w="225" w:type="dxa"/>
            </w:tcMar>
            <w:vAlign w:val="center"/>
          </w:tcPr>
          <w:p>
            <w:pPr>
              <w:spacing w:line="240" w:lineRule="exact"/>
              <w:jc w:val="center"/>
              <w:rPr>
                <w:rFonts w:asciiTheme="minorEastAsia" w:hAnsiTheme="minorEastAsia" w:eastAsiaTheme="minorEastAsia" w:cstheme="minorEastAsia"/>
                <w:sz w:val="22"/>
                <w:szCs w:val="22"/>
                <w:shd w:val="clear" w:color="auto" w:fill="FFFFFF"/>
              </w:rPr>
            </w:pPr>
            <w:r>
              <w:rPr>
                <w:rFonts w:hint="eastAsia" w:ascii="宋体" w:hAnsi="宋体"/>
                <w:szCs w:val="18"/>
              </w:rPr>
              <w:t>17</w:t>
            </w:r>
          </w:p>
        </w:tc>
        <w:tc>
          <w:tcPr>
            <w:tcW w:w="2841"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计算机应用</w:t>
            </w:r>
          </w:p>
        </w:tc>
        <w:tc>
          <w:tcPr>
            <w:tcW w:w="3607"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郑州市信息技术学校</w:t>
            </w:r>
          </w:p>
        </w:tc>
        <w:tc>
          <w:tcPr>
            <w:tcW w:w="1225"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梁  爽</w:t>
            </w:r>
          </w:p>
        </w:tc>
        <w:tc>
          <w:tcPr>
            <w:tcW w:w="1225" w:type="dxa"/>
            <w:vMerge w:val="continue"/>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p>
        </w:tc>
      </w:tr>
      <w:tr>
        <w:tblPrEx>
          <w:tblBorders>
            <w:top w:val="single" w:color="333333" w:sz="8" w:space="0"/>
            <w:left w:val="single" w:color="333333" w:sz="8" w:space="0"/>
            <w:bottom w:val="single" w:color="333333" w:sz="8" w:space="0"/>
            <w:right w:val="single" w:color="333333" w:sz="8" w:space="0"/>
            <w:insideH w:val="single" w:color="333333" w:sz="8" w:space="0"/>
            <w:insideV w:val="single" w:color="333333" w:sz="8" w:space="0"/>
          </w:tblBorders>
          <w:shd w:val="clear" w:color="auto" w:fill="000000"/>
          <w:tblCellMar>
            <w:top w:w="0" w:type="dxa"/>
            <w:left w:w="0" w:type="dxa"/>
            <w:bottom w:w="0" w:type="dxa"/>
            <w:right w:w="0" w:type="dxa"/>
          </w:tblCellMar>
        </w:tblPrEx>
        <w:trPr>
          <w:jc w:val="center"/>
        </w:trPr>
        <w:tc>
          <w:tcPr>
            <w:tcW w:w="740" w:type="dxa"/>
            <w:tcBorders>
              <w:tl2br w:val="nil"/>
              <w:tr2bl w:val="nil"/>
            </w:tcBorders>
            <w:shd w:val="clear" w:color="auto" w:fill="D9E2F3" w:themeFill="accent5" w:themeFillTint="33"/>
            <w:tcMar>
              <w:top w:w="150" w:type="dxa"/>
              <w:left w:w="225" w:type="dxa"/>
              <w:bottom w:w="150" w:type="dxa"/>
              <w:right w:w="225" w:type="dxa"/>
            </w:tcMar>
            <w:vAlign w:val="center"/>
          </w:tcPr>
          <w:p>
            <w:pPr>
              <w:spacing w:line="240" w:lineRule="exact"/>
              <w:jc w:val="center"/>
              <w:rPr>
                <w:rFonts w:asciiTheme="minorEastAsia" w:hAnsiTheme="minorEastAsia" w:eastAsiaTheme="minorEastAsia" w:cstheme="minorEastAsia"/>
                <w:sz w:val="22"/>
                <w:szCs w:val="22"/>
                <w:shd w:val="clear" w:color="auto" w:fill="FFFFFF"/>
              </w:rPr>
            </w:pPr>
            <w:r>
              <w:rPr>
                <w:rFonts w:hint="eastAsia" w:ascii="宋体" w:hAnsi="宋体"/>
                <w:szCs w:val="18"/>
              </w:rPr>
              <w:t>18</w:t>
            </w:r>
          </w:p>
        </w:tc>
        <w:tc>
          <w:tcPr>
            <w:tcW w:w="2841"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计算机网络技术</w:t>
            </w:r>
          </w:p>
        </w:tc>
        <w:tc>
          <w:tcPr>
            <w:tcW w:w="3607"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郑州市电子信息工程学校</w:t>
            </w:r>
          </w:p>
        </w:tc>
        <w:tc>
          <w:tcPr>
            <w:tcW w:w="1225"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李向伟</w:t>
            </w:r>
          </w:p>
        </w:tc>
        <w:tc>
          <w:tcPr>
            <w:tcW w:w="1225" w:type="dxa"/>
            <w:vMerge w:val="continue"/>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p>
        </w:tc>
      </w:tr>
      <w:tr>
        <w:tblPrEx>
          <w:tblBorders>
            <w:top w:val="single" w:color="333333" w:sz="8" w:space="0"/>
            <w:left w:val="single" w:color="333333" w:sz="8" w:space="0"/>
            <w:bottom w:val="single" w:color="333333" w:sz="8" w:space="0"/>
            <w:right w:val="single" w:color="333333" w:sz="8" w:space="0"/>
            <w:insideH w:val="single" w:color="333333" w:sz="8" w:space="0"/>
            <w:insideV w:val="single" w:color="333333" w:sz="8" w:space="0"/>
          </w:tblBorders>
          <w:shd w:val="clear" w:color="auto" w:fill="000000"/>
          <w:tblCellMar>
            <w:top w:w="0" w:type="dxa"/>
            <w:left w:w="0" w:type="dxa"/>
            <w:bottom w:w="0" w:type="dxa"/>
            <w:right w:w="0" w:type="dxa"/>
          </w:tblCellMar>
        </w:tblPrEx>
        <w:trPr>
          <w:jc w:val="center"/>
        </w:trPr>
        <w:tc>
          <w:tcPr>
            <w:tcW w:w="740" w:type="dxa"/>
            <w:tcBorders>
              <w:tl2br w:val="nil"/>
              <w:tr2bl w:val="nil"/>
            </w:tcBorders>
            <w:shd w:val="clear" w:color="auto" w:fill="D9E2F3" w:themeFill="accent5" w:themeFillTint="33"/>
            <w:tcMar>
              <w:top w:w="150" w:type="dxa"/>
              <w:left w:w="225" w:type="dxa"/>
              <w:bottom w:w="150" w:type="dxa"/>
              <w:right w:w="225" w:type="dxa"/>
            </w:tcMar>
            <w:vAlign w:val="center"/>
          </w:tcPr>
          <w:p>
            <w:pPr>
              <w:spacing w:line="240" w:lineRule="exact"/>
              <w:jc w:val="center"/>
              <w:rPr>
                <w:rFonts w:asciiTheme="minorEastAsia" w:hAnsiTheme="minorEastAsia" w:eastAsiaTheme="minorEastAsia" w:cstheme="minorEastAsia"/>
                <w:sz w:val="22"/>
                <w:szCs w:val="22"/>
                <w:shd w:val="clear" w:color="auto" w:fill="FFFFFF"/>
              </w:rPr>
            </w:pPr>
            <w:r>
              <w:rPr>
                <w:rFonts w:hint="eastAsia" w:ascii="宋体" w:hAnsi="宋体"/>
                <w:szCs w:val="18"/>
              </w:rPr>
              <w:t>19</w:t>
            </w:r>
          </w:p>
        </w:tc>
        <w:tc>
          <w:tcPr>
            <w:tcW w:w="2841"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数控技术应用</w:t>
            </w:r>
          </w:p>
        </w:tc>
        <w:tc>
          <w:tcPr>
            <w:tcW w:w="3607"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郑州市国防科技学校</w:t>
            </w:r>
          </w:p>
        </w:tc>
        <w:tc>
          <w:tcPr>
            <w:tcW w:w="1225"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冯超凡</w:t>
            </w:r>
          </w:p>
        </w:tc>
        <w:tc>
          <w:tcPr>
            <w:tcW w:w="1225" w:type="dxa"/>
            <w:vMerge w:val="continue"/>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p>
        </w:tc>
      </w:tr>
      <w:tr>
        <w:tblPrEx>
          <w:tblBorders>
            <w:top w:val="single" w:color="333333" w:sz="8" w:space="0"/>
            <w:left w:val="single" w:color="333333" w:sz="8" w:space="0"/>
            <w:bottom w:val="single" w:color="333333" w:sz="8" w:space="0"/>
            <w:right w:val="single" w:color="333333" w:sz="8" w:space="0"/>
            <w:insideH w:val="single" w:color="333333" w:sz="8" w:space="0"/>
            <w:insideV w:val="single" w:color="333333" w:sz="8" w:space="0"/>
          </w:tblBorders>
          <w:shd w:val="clear" w:color="auto" w:fill="000000"/>
          <w:tblCellMar>
            <w:top w:w="0" w:type="dxa"/>
            <w:left w:w="0" w:type="dxa"/>
            <w:bottom w:w="0" w:type="dxa"/>
            <w:right w:w="0" w:type="dxa"/>
          </w:tblCellMar>
        </w:tblPrEx>
        <w:trPr>
          <w:jc w:val="center"/>
        </w:trPr>
        <w:tc>
          <w:tcPr>
            <w:tcW w:w="740" w:type="dxa"/>
            <w:tcBorders>
              <w:tl2br w:val="nil"/>
              <w:tr2bl w:val="nil"/>
            </w:tcBorders>
            <w:shd w:val="clear" w:color="auto" w:fill="D9E2F3" w:themeFill="accent5" w:themeFillTint="33"/>
            <w:tcMar>
              <w:top w:w="150" w:type="dxa"/>
              <w:left w:w="225" w:type="dxa"/>
              <w:bottom w:w="150" w:type="dxa"/>
              <w:right w:w="225" w:type="dxa"/>
            </w:tcMar>
            <w:vAlign w:val="center"/>
          </w:tcPr>
          <w:p>
            <w:pPr>
              <w:spacing w:line="240" w:lineRule="exact"/>
              <w:jc w:val="center"/>
              <w:rPr>
                <w:rFonts w:asciiTheme="minorEastAsia" w:hAnsiTheme="minorEastAsia" w:eastAsiaTheme="minorEastAsia" w:cstheme="minorEastAsia"/>
                <w:sz w:val="22"/>
                <w:szCs w:val="22"/>
                <w:shd w:val="clear" w:color="auto" w:fill="FFFFFF"/>
              </w:rPr>
            </w:pPr>
            <w:r>
              <w:rPr>
                <w:rFonts w:hint="eastAsia" w:ascii="宋体" w:hAnsi="宋体"/>
                <w:szCs w:val="18"/>
              </w:rPr>
              <w:t>20</w:t>
            </w:r>
          </w:p>
        </w:tc>
        <w:tc>
          <w:tcPr>
            <w:tcW w:w="2841"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金融事务</w:t>
            </w:r>
          </w:p>
        </w:tc>
        <w:tc>
          <w:tcPr>
            <w:tcW w:w="3607"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郑州市金融学校</w:t>
            </w:r>
          </w:p>
        </w:tc>
        <w:tc>
          <w:tcPr>
            <w:tcW w:w="1225"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徐  琳</w:t>
            </w:r>
          </w:p>
        </w:tc>
        <w:tc>
          <w:tcPr>
            <w:tcW w:w="1225" w:type="dxa"/>
            <w:vMerge w:val="continue"/>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p>
        </w:tc>
      </w:tr>
      <w:tr>
        <w:tblPrEx>
          <w:tblBorders>
            <w:top w:val="single" w:color="333333" w:sz="8" w:space="0"/>
            <w:left w:val="single" w:color="333333" w:sz="8" w:space="0"/>
            <w:bottom w:val="single" w:color="333333" w:sz="8" w:space="0"/>
            <w:right w:val="single" w:color="333333" w:sz="8" w:space="0"/>
            <w:insideH w:val="single" w:color="333333" w:sz="8" w:space="0"/>
            <w:insideV w:val="single" w:color="333333" w:sz="8" w:space="0"/>
          </w:tblBorders>
          <w:shd w:val="clear" w:color="auto" w:fill="000000"/>
          <w:tblCellMar>
            <w:top w:w="0" w:type="dxa"/>
            <w:left w:w="0" w:type="dxa"/>
            <w:bottom w:w="0" w:type="dxa"/>
            <w:right w:w="0" w:type="dxa"/>
          </w:tblCellMar>
        </w:tblPrEx>
        <w:trPr>
          <w:jc w:val="center"/>
        </w:trPr>
        <w:tc>
          <w:tcPr>
            <w:tcW w:w="740" w:type="dxa"/>
            <w:tcBorders>
              <w:tl2br w:val="nil"/>
              <w:tr2bl w:val="nil"/>
            </w:tcBorders>
            <w:shd w:val="clear" w:color="auto" w:fill="D9E2F3" w:themeFill="accent5" w:themeFillTint="33"/>
            <w:tcMar>
              <w:top w:w="150" w:type="dxa"/>
              <w:left w:w="225" w:type="dxa"/>
              <w:bottom w:w="150" w:type="dxa"/>
              <w:right w:w="225" w:type="dxa"/>
            </w:tcMar>
            <w:vAlign w:val="center"/>
          </w:tcPr>
          <w:p>
            <w:pPr>
              <w:spacing w:line="240" w:lineRule="exact"/>
              <w:jc w:val="center"/>
              <w:rPr>
                <w:rFonts w:asciiTheme="minorEastAsia" w:hAnsiTheme="minorEastAsia" w:eastAsiaTheme="minorEastAsia" w:cstheme="minorEastAsia"/>
                <w:sz w:val="22"/>
                <w:szCs w:val="22"/>
                <w:shd w:val="clear" w:color="auto" w:fill="FFFFFF"/>
              </w:rPr>
            </w:pPr>
            <w:r>
              <w:rPr>
                <w:rFonts w:hint="eastAsia" w:ascii="宋体" w:hAnsi="宋体"/>
                <w:szCs w:val="18"/>
              </w:rPr>
              <w:t>21</w:t>
            </w:r>
          </w:p>
        </w:tc>
        <w:tc>
          <w:tcPr>
            <w:tcW w:w="2841"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工艺美术</w:t>
            </w:r>
          </w:p>
        </w:tc>
        <w:tc>
          <w:tcPr>
            <w:tcW w:w="3607"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郑州市商贸管理学校</w:t>
            </w:r>
          </w:p>
        </w:tc>
        <w:tc>
          <w:tcPr>
            <w:tcW w:w="1225"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陈琳娜</w:t>
            </w:r>
          </w:p>
        </w:tc>
        <w:tc>
          <w:tcPr>
            <w:tcW w:w="1225" w:type="dxa"/>
            <w:vMerge w:val="continue"/>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p>
        </w:tc>
      </w:tr>
      <w:tr>
        <w:tblPrEx>
          <w:tblBorders>
            <w:top w:val="single" w:color="333333" w:sz="8" w:space="0"/>
            <w:left w:val="single" w:color="333333" w:sz="8" w:space="0"/>
            <w:bottom w:val="single" w:color="333333" w:sz="8" w:space="0"/>
            <w:right w:val="single" w:color="333333" w:sz="8" w:space="0"/>
            <w:insideH w:val="single" w:color="333333" w:sz="8" w:space="0"/>
            <w:insideV w:val="single" w:color="333333" w:sz="8" w:space="0"/>
          </w:tblBorders>
          <w:shd w:val="clear" w:color="auto" w:fill="000000"/>
          <w:tblCellMar>
            <w:top w:w="0" w:type="dxa"/>
            <w:left w:w="0" w:type="dxa"/>
            <w:bottom w:w="0" w:type="dxa"/>
            <w:right w:w="0" w:type="dxa"/>
          </w:tblCellMar>
        </w:tblPrEx>
        <w:trPr>
          <w:jc w:val="center"/>
        </w:trPr>
        <w:tc>
          <w:tcPr>
            <w:tcW w:w="740" w:type="dxa"/>
            <w:tcBorders>
              <w:tl2br w:val="nil"/>
              <w:tr2bl w:val="nil"/>
            </w:tcBorders>
            <w:shd w:val="clear" w:color="auto" w:fill="D9E2F3" w:themeFill="accent5" w:themeFillTint="33"/>
            <w:tcMar>
              <w:top w:w="150" w:type="dxa"/>
              <w:left w:w="225" w:type="dxa"/>
              <w:bottom w:w="150" w:type="dxa"/>
              <w:right w:w="225" w:type="dxa"/>
            </w:tcMar>
            <w:vAlign w:val="center"/>
          </w:tcPr>
          <w:p>
            <w:pPr>
              <w:spacing w:line="240" w:lineRule="exact"/>
              <w:jc w:val="center"/>
              <w:rPr>
                <w:rFonts w:asciiTheme="minorEastAsia" w:hAnsiTheme="minorEastAsia" w:eastAsiaTheme="minorEastAsia" w:cstheme="minorEastAsia"/>
                <w:sz w:val="22"/>
                <w:szCs w:val="22"/>
                <w:shd w:val="clear" w:color="auto" w:fill="FFFFFF"/>
              </w:rPr>
            </w:pPr>
            <w:r>
              <w:rPr>
                <w:rFonts w:hint="eastAsia" w:ascii="宋体" w:hAnsi="宋体"/>
                <w:szCs w:val="18"/>
              </w:rPr>
              <w:t>22</w:t>
            </w:r>
          </w:p>
        </w:tc>
        <w:tc>
          <w:tcPr>
            <w:tcW w:w="2841"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城市轨道交通供电</w:t>
            </w:r>
          </w:p>
        </w:tc>
        <w:tc>
          <w:tcPr>
            <w:tcW w:w="3607"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郑州市科技工业学校</w:t>
            </w:r>
          </w:p>
        </w:tc>
        <w:tc>
          <w:tcPr>
            <w:tcW w:w="1225"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张发庆</w:t>
            </w:r>
          </w:p>
        </w:tc>
        <w:tc>
          <w:tcPr>
            <w:tcW w:w="1225" w:type="dxa"/>
            <w:vMerge w:val="continue"/>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p>
        </w:tc>
      </w:tr>
      <w:tr>
        <w:tblPrEx>
          <w:tblBorders>
            <w:top w:val="single" w:color="333333" w:sz="8" w:space="0"/>
            <w:left w:val="single" w:color="333333" w:sz="8" w:space="0"/>
            <w:bottom w:val="single" w:color="333333" w:sz="8" w:space="0"/>
            <w:right w:val="single" w:color="333333" w:sz="8" w:space="0"/>
            <w:insideH w:val="single" w:color="333333" w:sz="8" w:space="0"/>
            <w:insideV w:val="single" w:color="333333" w:sz="8" w:space="0"/>
          </w:tblBorders>
          <w:shd w:val="clear" w:color="auto" w:fill="000000"/>
          <w:tblCellMar>
            <w:top w:w="0" w:type="dxa"/>
            <w:left w:w="0" w:type="dxa"/>
            <w:bottom w:w="0" w:type="dxa"/>
            <w:right w:w="0" w:type="dxa"/>
          </w:tblCellMar>
        </w:tblPrEx>
        <w:trPr>
          <w:jc w:val="center"/>
        </w:trPr>
        <w:tc>
          <w:tcPr>
            <w:tcW w:w="740" w:type="dxa"/>
            <w:tcBorders>
              <w:tl2br w:val="nil"/>
              <w:tr2bl w:val="nil"/>
            </w:tcBorders>
            <w:shd w:val="clear" w:color="auto" w:fill="D9E2F3" w:themeFill="accent5" w:themeFillTint="33"/>
            <w:tcMar>
              <w:top w:w="150" w:type="dxa"/>
              <w:left w:w="225" w:type="dxa"/>
              <w:bottom w:w="150" w:type="dxa"/>
              <w:right w:w="225" w:type="dxa"/>
            </w:tcMar>
            <w:vAlign w:val="center"/>
          </w:tcPr>
          <w:p>
            <w:pPr>
              <w:spacing w:line="240" w:lineRule="exact"/>
              <w:jc w:val="center"/>
              <w:rPr>
                <w:rFonts w:asciiTheme="minorEastAsia" w:hAnsiTheme="minorEastAsia" w:eastAsiaTheme="minorEastAsia" w:cstheme="minorEastAsia"/>
                <w:sz w:val="22"/>
                <w:szCs w:val="22"/>
                <w:shd w:val="clear" w:color="auto" w:fill="FFFFFF"/>
              </w:rPr>
            </w:pPr>
            <w:r>
              <w:rPr>
                <w:rFonts w:hint="eastAsia" w:ascii="宋体" w:hAnsi="宋体"/>
                <w:szCs w:val="18"/>
              </w:rPr>
              <w:t>23</w:t>
            </w:r>
          </w:p>
        </w:tc>
        <w:tc>
          <w:tcPr>
            <w:tcW w:w="2841"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计算机动漫与游戏制作</w:t>
            </w:r>
          </w:p>
        </w:tc>
        <w:tc>
          <w:tcPr>
            <w:tcW w:w="3607"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郑州市电子信息工程学校</w:t>
            </w:r>
          </w:p>
        </w:tc>
        <w:tc>
          <w:tcPr>
            <w:tcW w:w="1225"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周乐生</w:t>
            </w:r>
          </w:p>
        </w:tc>
        <w:tc>
          <w:tcPr>
            <w:tcW w:w="1225" w:type="dxa"/>
            <w:vMerge w:val="restart"/>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第四批</w:t>
            </w:r>
          </w:p>
          <w:p>
            <w:pPr>
              <w:jc w:val="center"/>
            </w:pPr>
            <w:r>
              <w:rPr>
                <w:rFonts w:hint="eastAsia"/>
              </w:rPr>
              <w:t>8个</w:t>
            </w:r>
          </w:p>
        </w:tc>
      </w:tr>
      <w:tr>
        <w:tblPrEx>
          <w:tblBorders>
            <w:top w:val="single" w:color="333333" w:sz="8" w:space="0"/>
            <w:left w:val="single" w:color="333333" w:sz="8" w:space="0"/>
            <w:bottom w:val="single" w:color="333333" w:sz="8" w:space="0"/>
            <w:right w:val="single" w:color="333333" w:sz="8" w:space="0"/>
            <w:insideH w:val="single" w:color="333333" w:sz="8" w:space="0"/>
            <w:insideV w:val="single" w:color="333333" w:sz="8" w:space="0"/>
          </w:tblBorders>
          <w:shd w:val="clear" w:color="auto" w:fill="000000"/>
          <w:tblCellMar>
            <w:top w:w="0" w:type="dxa"/>
            <w:left w:w="0" w:type="dxa"/>
            <w:bottom w:w="0" w:type="dxa"/>
            <w:right w:w="0" w:type="dxa"/>
          </w:tblCellMar>
        </w:tblPrEx>
        <w:trPr>
          <w:jc w:val="center"/>
        </w:trPr>
        <w:tc>
          <w:tcPr>
            <w:tcW w:w="740" w:type="dxa"/>
            <w:tcBorders>
              <w:tl2br w:val="nil"/>
              <w:tr2bl w:val="nil"/>
            </w:tcBorders>
            <w:shd w:val="clear" w:color="auto" w:fill="D9E2F3" w:themeFill="accent5" w:themeFillTint="33"/>
            <w:tcMar>
              <w:top w:w="150" w:type="dxa"/>
              <w:left w:w="225" w:type="dxa"/>
              <w:bottom w:w="150" w:type="dxa"/>
              <w:right w:w="225" w:type="dxa"/>
            </w:tcMar>
            <w:vAlign w:val="center"/>
          </w:tcPr>
          <w:p>
            <w:pPr>
              <w:spacing w:line="240" w:lineRule="exact"/>
              <w:jc w:val="center"/>
              <w:rPr>
                <w:rFonts w:asciiTheme="minorEastAsia" w:hAnsiTheme="minorEastAsia" w:eastAsiaTheme="minorEastAsia" w:cstheme="minorEastAsia"/>
                <w:sz w:val="22"/>
                <w:szCs w:val="22"/>
                <w:shd w:val="clear" w:color="auto" w:fill="FFFFFF"/>
              </w:rPr>
            </w:pPr>
            <w:r>
              <w:rPr>
                <w:rFonts w:hint="eastAsia" w:ascii="宋体" w:hAnsi="宋体"/>
                <w:szCs w:val="18"/>
              </w:rPr>
              <w:t>24</w:t>
            </w:r>
          </w:p>
        </w:tc>
        <w:tc>
          <w:tcPr>
            <w:tcW w:w="2841"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珠宝玉石加工与营销</w:t>
            </w:r>
          </w:p>
        </w:tc>
        <w:tc>
          <w:tcPr>
            <w:tcW w:w="3607"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郑州市商贸管理学校</w:t>
            </w:r>
          </w:p>
        </w:tc>
        <w:tc>
          <w:tcPr>
            <w:tcW w:w="1225"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孙晓萌</w:t>
            </w:r>
          </w:p>
        </w:tc>
        <w:tc>
          <w:tcPr>
            <w:tcW w:w="1225" w:type="dxa"/>
            <w:vMerge w:val="continue"/>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p>
        </w:tc>
      </w:tr>
      <w:tr>
        <w:tblPrEx>
          <w:tblBorders>
            <w:top w:val="single" w:color="333333" w:sz="8" w:space="0"/>
            <w:left w:val="single" w:color="333333" w:sz="8" w:space="0"/>
            <w:bottom w:val="single" w:color="333333" w:sz="8" w:space="0"/>
            <w:right w:val="single" w:color="333333" w:sz="8" w:space="0"/>
            <w:insideH w:val="single" w:color="333333" w:sz="8" w:space="0"/>
            <w:insideV w:val="single" w:color="333333" w:sz="8" w:space="0"/>
          </w:tblBorders>
          <w:shd w:val="clear" w:color="auto" w:fill="000000"/>
          <w:tblCellMar>
            <w:top w:w="0" w:type="dxa"/>
            <w:left w:w="0" w:type="dxa"/>
            <w:bottom w:w="0" w:type="dxa"/>
            <w:right w:w="0" w:type="dxa"/>
          </w:tblCellMar>
        </w:tblPrEx>
        <w:trPr>
          <w:jc w:val="center"/>
        </w:trPr>
        <w:tc>
          <w:tcPr>
            <w:tcW w:w="740" w:type="dxa"/>
            <w:tcBorders>
              <w:tl2br w:val="nil"/>
              <w:tr2bl w:val="nil"/>
            </w:tcBorders>
            <w:shd w:val="clear" w:color="auto" w:fill="D9E2F3" w:themeFill="accent5" w:themeFillTint="33"/>
            <w:tcMar>
              <w:top w:w="150" w:type="dxa"/>
              <w:left w:w="225" w:type="dxa"/>
              <w:bottom w:w="150" w:type="dxa"/>
              <w:right w:w="225" w:type="dxa"/>
            </w:tcMar>
            <w:vAlign w:val="center"/>
          </w:tcPr>
          <w:p>
            <w:pPr>
              <w:spacing w:line="240" w:lineRule="exact"/>
              <w:jc w:val="center"/>
              <w:rPr>
                <w:rFonts w:asciiTheme="minorEastAsia" w:hAnsiTheme="minorEastAsia" w:eastAsiaTheme="minorEastAsia" w:cstheme="minorEastAsia"/>
                <w:sz w:val="22"/>
                <w:szCs w:val="22"/>
                <w:shd w:val="clear" w:color="auto" w:fill="FFFFFF"/>
              </w:rPr>
            </w:pPr>
            <w:r>
              <w:rPr>
                <w:rFonts w:hint="eastAsia" w:ascii="宋体" w:hAnsi="宋体"/>
                <w:szCs w:val="18"/>
              </w:rPr>
              <w:t>25</w:t>
            </w:r>
          </w:p>
        </w:tc>
        <w:tc>
          <w:tcPr>
            <w:tcW w:w="2841"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音乐</w:t>
            </w:r>
          </w:p>
        </w:tc>
        <w:tc>
          <w:tcPr>
            <w:tcW w:w="3607"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郑州艺术幼儿师范学校</w:t>
            </w:r>
          </w:p>
        </w:tc>
        <w:tc>
          <w:tcPr>
            <w:tcW w:w="1225"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胡金丽</w:t>
            </w:r>
          </w:p>
        </w:tc>
        <w:tc>
          <w:tcPr>
            <w:tcW w:w="1225" w:type="dxa"/>
            <w:vMerge w:val="continue"/>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p>
        </w:tc>
      </w:tr>
      <w:tr>
        <w:tblPrEx>
          <w:tblBorders>
            <w:top w:val="single" w:color="333333" w:sz="8" w:space="0"/>
            <w:left w:val="single" w:color="333333" w:sz="8" w:space="0"/>
            <w:bottom w:val="single" w:color="333333" w:sz="8" w:space="0"/>
            <w:right w:val="single" w:color="333333" w:sz="8" w:space="0"/>
            <w:insideH w:val="single" w:color="333333" w:sz="8" w:space="0"/>
            <w:insideV w:val="single" w:color="333333" w:sz="8" w:space="0"/>
          </w:tblBorders>
          <w:shd w:val="clear" w:color="auto" w:fill="000000"/>
          <w:tblCellMar>
            <w:top w:w="0" w:type="dxa"/>
            <w:left w:w="0" w:type="dxa"/>
            <w:bottom w:w="0" w:type="dxa"/>
            <w:right w:w="0" w:type="dxa"/>
          </w:tblCellMar>
        </w:tblPrEx>
        <w:trPr>
          <w:jc w:val="center"/>
        </w:trPr>
        <w:tc>
          <w:tcPr>
            <w:tcW w:w="740" w:type="dxa"/>
            <w:tcBorders>
              <w:tl2br w:val="nil"/>
              <w:tr2bl w:val="nil"/>
            </w:tcBorders>
            <w:shd w:val="clear" w:color="auto" w:fill="D9E2F3" w:themeFill="accent5" w:themeFillTint="33"/>
            <w:tcMar>
              <w:top w:w="150" w:type="dxa"/>
              <w:left w:w="225" w:type="dxa"/>
              <w:bottom w:w="150" w:type="dxa"/>
              <w:right w:w="225" w:type="dxa"/>
            </w:tcMar>
            <w:vAlign w:val="center"/>
          </w:tcPr>
          <w:p>
            <w:pPr>
              <w:spacing w:line="240" w:lineRule="exact"/>
              <w:jc w:val="center"/>
              <w:rPr>
                <w:rFonts w:asciiTheme="minorEastAsia" w:hAnsiTheme="minorEastAsia" w:eastAsiaTheme="minorEastAsia" w:cstheme="minorEastAsia"/>
                <w:sz w:val="22"/>
                <w:szCs w:val="22"/>
                <w:shd w:val="clear" w:color="auto" w:fill="FFFFFF"/>
              </w:rPr>
            </w:pPr>
            <w:r>
              <w:rPr>
                <w:rFonts w:hint="eastAsia" w:ascii="宋体" w:hAnsi="宋体"/>
                <w:szCs w:val="18"/>
              </w:rPr>
              <w:t>26</w:t>
            </w:r>
          </w:p>
        </w:tc>
        <w:tc>
          <w:tcPr>
            <w:tcW w:w="2841"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旅游服务与管理</w:t>
            </w:r>
          </w:p>
        </w:tc>
        <w:tc>
          <w:tcPr>
            <w:tcW w:w="3607"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郑州市财贸学校</w:t>
            </w:r>
          </w:p>
        </w:tc>
        <w:tc>
          <w:tcPr>
            <w:tcW w:w="1225"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郭  琪</w:t>
            </w:r>
          </w:p>
        </w:tc>
        <w:tc>
          <w:tcPr>
            <w:tcW w:w="1225" w:type="dxa"/>
            <w:vMerge w:val="continue"/>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p>
        </w:tc>
      </w:tr>
      <w:tr>
        <w:tblPrEx>
          <w:tblBorders>
            <w:top w:val="single" w:color="333333" w:sz="8" w:space="0"/>
            <w:left w:val="single" w:color="333333" w:sz="8" w:space="0"/>
            <w:bottom w:val="single" w:color="333333" w:sz="8" w:space="0"/>
            <w:right w:val="single" w:color="333333" w:sz="8" w:space="0"/>
            <w:insideH w:val="single" w:color="333333" w:sz="8" w:space="0"/>
            <w:insideV w:val="single" w:color="333333" w:sz="8" w:space="0"/>
          </w:tblBorders>
          <w:shd w:val="clear" w:color="auto" w:fill="000000"/>
          <w:tblCellMar>
            <w:top w:w="0" w:type="dxa"/>
            <w:left w:w="0" w:type="dxa"/>
            <w:bottom w:w="0" w:type="dxa"/>
            <w:right w:w="0" w:type="dxa"/>
          </w:tblCellMar>
        </w:tblPrEx>
        <w:trPr>
          <w:jc w:val="center"/>
        </w:trPr>
        <w:tc>
          <w:tcPr>
            <w:tcW w:w="740" w:type="dxa"/>
            <w:tcBorders>
              <w:tl2br w:val="nil"/>
              <w:tr2bl w:val="nil"/>
            </w:tcBorders>
            <w:shd w:val="clear" w:color="auto" w:fill="D9E2F3" w:themeFill="accent5" w:themeFillTint="33"/>
            <w:tcMar>
              <w:top w:w="150" w:type="dxa"/>
              <w:left w:w="225" w:type="dxa"/>
              <w:bottom w:w="150" w:type="dxa"/>
              <w:right w:w="225" w:type="dxa"/>
            </w:tcMar>
            <w:vAlign w:val="center"/>
          </w:tcPr>
          <w:p>
            <w:pPr>
              <w:spacing w:line="240" w:lineRule="exact"/>
              <w:jc w:val="center"/>
              <w:rPr>
                <w:rFonts w:asciiTheme="minorEastAsia" w:hAnsiTheme="minorEastAsia" w:eastAsiaTheme="minorEastAsia" w:cstheme="minorEastAsia"/>
                <w:sz w:val="22"/>
                <w:szCs w:val="22"/>
                <w:shd w:val="clear" w:color="auto" w:fill="FFFFFF"/>
              </w:rPr>
            </w:pPr>
            <w:r>
              <w:rPr>
                <w:rFonts w:hint="eastAsia" w:ascii="宋体" w:hAnsi="宋体"/>
                <w:szCs w:val="18"/>
              </w:rPr>
              <w:t>27</w:t>
            </w:r>
          </w:p>
        </w:tc>
        <w:tc>
          <w:tcPr>
            <w:tcW w:w="2841"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汽车车身修复</w:t>
            </w:r>
          </w:p>
        </w:tc>
        <w:tc>
          <w:tcPr>
            <w:tcW w:w="3607"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郑州市国防科技学校</w:t>
            </w:r>
          </w:p>
        </w:tc>
        <w:tc>
          <w:tcPr>
            <w:tcW w:w="1225"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张志臻</w:t>
            </w:r>
          </w:p>
        </w:tc>
        <w:tc>
          <w:tcPr>
            <w:tcW w:w="1225" w:type="dxa"/>
            <w:vMerge w:val="continue"/>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p>
        </w:tc>
      </w:tr>
      <w:tr>
        <w:tblPrEx>
          <w:tblBorders>
            <w:top w:val="single" w:color="333333" w:sz="8" w:space="0"/>
            <w:left w:val="single" w:color="333333" w:sz="8" w:space="0"/>
            <w:bottom w:val="single" w:color="333333" w:sz="8" w:space="0"/>
            <w:right w:val="single" w:color="333333" w:sz="8" w:space="0"/>
            <w:insideH w:val="single" w:color="333333" w:sz="8" w:space="0"/>
            <w:insideV w:val="single" w:color="333333" w:sz="8" w:space="0"/>
          </w:tblBorders>
          <w:shd w:val="clear" w:color="auto" w:fill="000000"/>
          <w:tblCellMar>
            <w:top w:w="0" w:type="dxa"/>
            <w:left w:w="0" w:type="dxa"/>
            <w:bottom w:w="0" w:type="dxa"/>
            <w:right w:w="0" w:type="dxa"/>
          </w:tblCellMar>
        </w:tblPrEx>
        <w:trPr>
          <w:jc w:val="center"/>
        </w:trPr>
        <w:tc>
          <w:tcPr>
            <w:tcW w:w="740" w:type="dxa"/>
            <w:tcBorders>
              <w:tl2br w:val="nil"/>
              <w:tr2bl w:val="nil"/>
            </w:tcBorders>
            <w:shd w:val="clear" w:color="auto" w:fill="D9E2F3" w:themeFill="accent5" w:themeFillTint="33"/>
            <w:tcMar>
              <w:top w:w="150" w:type="dxa"/>
              <w:left w:w="225" w:type="dxa"/>
              <w:bottom w:w="150" w:type="dxa"/>
              <w:right w:w="225" w:type="dxa"/>
            </w:tcMar>
            <w:vAlign w:val="center"/>
          </w:tcPr>
          <w:p>
            <w:pPr>
              <w:spacing w:line="240" w:lineRule="exact"/>
              <w:jc w:val="center"/>
              <w:rPr>
                <w:rFonts w:asciiTheme="minorEastAsia" w:hAnsiTheme="minorEastAsia" w:eastAsiaTheme="minorEastAsia" w:cstheme="minorEastAsia"/>
                <w:sz w:val="22"/>
                <w:szCs w:val="22"/>
                <w:shd w:val="clear" w:color="auto" w:fill="FFFFFF"/>
              </w:rPr>
            </w:pPr>
            <w:r>
              <w:rPr>
                <w:rFonts w:hint="eastAsia" w:ascii="宋体" w:hAnsi="宋体"/>
                <w:szCs w:val="18"/>
              </w:rPr>
              <w:t>28</w:t>
            </w:r>
          </w:p>
        </w:tc>
        <w:tc>
          <w:tcPr>
            <w:tcW w:w="2841"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形象设计</w:t>
            </w:r>
          </w:p>
        </w:tc>
        <w:tc>
          <w:tcPr>
            <w:tcW w:w="3607"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郑州市经济贸易学校</w:t>
            </w:r>
          </w:p>
        </w:tc>
        <w:tc>
          <w:tcPr>
            <w:tcW w:w="1225"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刘端端</w:t>
            </w:r>
          </w:p>
        </w:tc>
        <w:tc>
          <w:tcPr>
            <w:tcW w:w="1225" w:type="dxa"/>
            <w:vMerge w:val="continue"/>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p>
        </w:tc>
      </w:tr>
      <w:tr>
        <w:tblPrEx>
          <w:tblBorders>
            <w:top w:val="single" w:color="333333" w:sz="8" w:space="0"/>
            <w:left w:val="single" w:color="333333" w:sz="8" w:space="0"/>
            <w:bottom w:val="single" w:color="333333" w:sz="8" w:space="0"/>
            <w:right w:val="single" w:color="333333" w:sz="8" w:space="0"/>
            <w:insideH w:val="single" w:color="333333" w:sz="8" w:space="0"/>
            <w:insideV w:val="single" w:color="333333" w:sz="8" w:space="0"/>
          </w:tblBorders>
          <w:shd w:val="clear" w:color="auto" w:fill="000000"/>
          <w:tblCellMar>
            <w:top w:w="0" w:type="dxa"/>
            <w:left w:w="0" w:type="dxa"/>
            <w:bottom w:w="0" w:type="dxa"/>
            <w:right w:w="0" w:type="dxa"/>
          </w:tblCellMar>
        </w:tblPrEx>
        <w:trPr>
          <w:jc w:val="center"/>
        </w:trPr>
        <w:tc>
          <w:tcPr>
            <w:tcW w:w="740" w:type="dxa"/>
            <w:tcBorders>
              <w:tl2br w:val="nil"/>
              <w:tr2bl w:val="nil"/>
            </w:tcBorders>
            <w:shd w:val="clear" w:color="auto" w:fill="D9E2F3" w:themeFill="accent5" w:themeFillTint="33"/>
            <w:tcMar>
              <w:top w:w="150" w:type="dxa"/>
              <w:left w:w="225" w:type="dxa"/>
              <w:bottom w:w="150" w:type="dxa"/>
              <w:right w:w="225" w:type="dxa"/>
            </w:tcMar>
            <w:vAlign w:val="center"/>
          </w:tcPr>
          <w:p>
            <w:pPr>
              <w:jc w:val="center"/>
            </w:pPr>
            <w:r>
              <w:rPr>
                <w:rFonts w:hint="eastAsia"/>
              </w:rPr>
              <w:t>29</w:t>
            </w:r>
          </w:p>
        </w:tc>
        <w:tc>
          <w:tcPr>
            <w:tcW w:w="2841"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城市轨道交通运营管理</w:t>
            </w:r>
          </w:p>
        </w:tc>
        <w:tc>
          <w:tcPr>
            <w:tcW w:w="3607"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郑州城轨交通中等专业学校</w:t>
            </w:r>
          </w:p>
        </w:tc>
        <w:tc>
          <w:tcPr>
            <w:tcW w:w="1225"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李  芬</w:t>
            </w:r>
          </w:p>
        </w:tc>
        <w:tc>
          <w:tcPr>
            <w:tcW w:w="1225" w:type="dxa"/>
            <w:vMerge w:val="continue"/>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p>
        </w:tc>
      </w:tr>
      <w:tr>
        <w:tblPrEx>
          <w:tblBorders>
            <w:top w:val="single" w:color="333333" w:sz="8" w:space="0"/>
            <w:left w:val="single" w:color="333333" w:sz="8" w:space="0"/>
            <w:bottom w:val="single" w:color="333333" w:sz="8" w:space="0"/>
            <w:right w:val="single" w:color="333333" w:sz="8" w:space="0"/>
            <w:insideH w:val="single" w:color="333333" w:sz="8" w:space="0"/>
            <w:insideV w:val="single" w:color="333333" w:sz="8" w:space="0"/>
          </w:tblBorders>
          <w:shd w:val="clear" w:color="auto" w:fill="000000"/>
          <w:tblCellMar>
            <w:top w:w="0" w:type="dxa"/>
            <w:left w:w="0" w:type="dxa"/>
            <w:bottom w:w="0" w:type="dxa"/>
            <w:right w:w="0" w:type="dxa"/>
          </w:tblCellMar>
        </w:tblPrEx>
        <w:trPr>
          <w:jc w:val="center"/>
        </w:trPr>
        <w:tc>
          <w:tcPr>
            <w:tcW w:w="740" w:type="dxa"/>
            <w:tcBorders>
              <w:tl2br w:val="nil"/>
              <w:tr2bl w:val="nil"/>
            </w:tcBorders>
            <w:shd w:val="clear" w:color="auto" w:fill="D9E2F3" w:themeFill="accent5" w:themeFillTint="33"/>
            <w:tcMar>
              <w:top w:w="150" w:type="dxa"/>
              <w:left w:w="225" w:type="dxa"/>
              <w:bottom w:w="150" w:type="dxa"/>
              <w:right w:w="225" w:type="dxa"/>
            </w:tcMar>
            <w:vAlign w:val="center"/>
          </w:tcPr>
          <w:p>
            <w:pPr>
              <w:jc w:val="center"/>
            </w:pPr>
            <w:r>
              <w:rPr>
                <w:rFonts w:hint="eastAsia"/>
              </w:rPr>
              <w:t>30</w:t>
            </w:r>
          </w:p>
        </w:tc>
        <w:tc>
          <w:tcPr>
            <w:tcW w:w="2841"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计算机数码产品维修</w:t>
            </w:r>
          </w:p>
        </w:tc>
        <w:tc>
          <w:tcPr>
            <w:tcW w:w="3607"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郑州市信息技术学校</w:t>
            </w:r>
          </w:p>
        </w:tc>
        <w:tc>
          <w:tcPr>
            <w:tcW w:w="1225"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刘学雷</w:t>
            </w:r>
          </w:p>
        </w:tc>
        <w:tc>
          <w:tcPr>
            <w:tcW w:w="1225" w:type="dxa"/>
            <w:vMerge w:val="continue"/>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p>
        </w:tc>
      </w:tr>
      <w:tr>
        <w:tblPrEx>
          <w:tblBorders>
            <w:top w:val="single" w:color="333333" w:sz="8" w:space="0"/>
            <w:left w:val="single" w:color="333333" w:sz="8" w:space="0"/>
            <w:bottom w:val="single" w:color="333333" w:sz="8" w:space="0"/>
            <w:right w:val="single" w:color="333333" w:sz="8" w:space="0"/>
            <w:insideH w:val="single" w:color="333333" w:sz="8" w:space="0"/>
            <w:insideV w:val="single" w:color="333333" w:sz="8" w:space="0"/>
          </w:tblBorders>
          <w:shd w:val="clear" w:color="auto" w:fill="000000"/>
          <w:tblCellMar>
            <w:top w:w="0" w:type="dxa"/>
            <w:left w:w="0" w:type="dxa"/>
            <w:bottom w:w="0" w:type="dxa"/>
            <w:right w:w="0" w:type="dxa"/>
          </w:tblCellMar>
        </w:tblPrEx>
        <w:trPr>
          <w:jc w:val="center"/>
        </w:trPr>
        <w:tc>
          <w:tcPr>
            <w:tcW w:w="740" w:type="dxa"/>
            <w:tcBorders>
              <w:tl2br w:val="nil"/>
              <w:tr2bl w:val="nil"/>
            </w:tcBorders>
            <w:shd w:val="clear" w:color="auto" w:fill="D9E2F3" w:themeFill="accent5" w:themeFillTint="33"/>
            <w:tcMar>
              <w:top w:w="150" w:type="dxa"/>
              <w:left w:w="225" w:type="dxa"/>
              <w:bottom w:w="150" w:type="dxa"/>
              <w:right w:w="225" w:type="dxa"/>
            </w:tcMar>
            <w:vAlign w:val="center"/>
          </w:tcPr>
          <w:p>
            <w:pPr>
              <w:jc w:val="center"/>
            </w:pPr>
            <w:r>
              <w:rPr>
                <w:rFonts w:hint="eastAsia"/>
              </w:rPr>
              <w:t>31</w:t>
            </w:r>
          </w:p>
        </w:tc>
        <w:tc>
          <w:tcPr>
            <w:tcW w:w="2841"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物联网技术应用</w:t>
            </w:r>
          </w:p>
        </w:tc>
        <w:tc>
          <w:tcPr>
            <w:tcW w:w="3607"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郑州市电子信息工程学校</w:t>
            </w:r>
          </w:p>
        </w:tc>
        <w:tc>
          <w:tcPr>
            <w:tcW w:w="1225"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冯皓</w:t>
            </w:r>
          </w:p>
        </w:tc>
        <w:tc>
          <w:tcPr>
            <w:tcW w:w="1225" w:type="dxa"/>
            <w:vMerge w:val="restart"/>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第五批</w:t>
            </w:r>
          </w:p>
          <w:p>
            <w:pPr>
              <w:jc w:val="center"/>
            </w:pPr>
            <w:r>
              <w:rPr>
                <w:rFonts w:hint="eastAsia"/>
              </w:rPr>
              <w:t>8个</w:t>
            </w:r>
          </w:p>
        </w:tc>
      </w:tr>
      <w:tr>
        <w:tblPrEx>
          <w:tblBorders>
            <w:top w:val="single" w:color="333333" w:sz="8" w:space="0"/>
            <w:left w:val="single" w:color="333333" w:sz="8" w:space="0"/>
            <w:bottom w:val="single" w:color="333333" w:sz="8" w:space="0"/>
            <w:right w:val="single" w:color="333333" w:sz="8" w:space="0"/>
            <w:insideH w:val="single" w:color="333333" w:sz="8" w:space="0"/>
            <w:insideV w:val="single" w:color="333333" w:sz="8" w:space="0"/>
          </w:tblBorders>
          <w:shd w:val="clear" w:color="auto" w:fill="000000"/>
          <w:tblCellMar>
            <w:top w:w="0" w:type="dxa"/>
            <w:left w:w="0" w:type="dxa"/>
            <w:bottom w:w="0" w:type="dxa"/>
            <w:right w:w="0" w:type="dxa"/>
          </w:tblCellMar>
        </w:tblPrEx>
        <w:trPr>
          <w:jc w:val="center"/>
        </w:trPr>
        <w:tc>
          <w:tcPr>
            <w:tcW w:w="740" w:type="dxa"/>
            <w:tcBorders>
              <w:tl2br w:val="nil"/>
              <w:tr2bl w:val="nil"/>
            </w:tcBorders>
            <w:shd w:val="clear" w:color="auto" w:fill="D9E2F3" w:themeFill="accent5" w:themeFillTint="33"/>
            <w:tcMar>
              <w:top w:w="150" w:type="dxa"/>
              <w:left w:w="225" w:type="dxa"/>
              <w:bottom w:w="150" w:type="dxa"/>
              <w:right w:w="225" w:type="dxa"/>
            </w:tcMar>
            <w:vAlign w:val="center"/>
          </w:tcPr>
          <w:p>
            <w:pPr>
              <w:jc w:val="center"/>
            </w:pPr>
            <w:r>
              <w:rPr>
                <w:rFonts w:hint="eastAsia"/>
              </w:rPr>
              <w:t>32</w:t>
            </w:r>
          </w:p>
        </w:tc>
        <w:tc>
          <w:tcPr>
            <w:tcW w:w="2841"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跨境电子商务</w:t>
            </w:r>
          </w:p>
        </w:tc>
        <w:tc>
          <w:tcPr>
            <w:tcW w:w="3607"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郑州市商贸管理学校</w:t>
            </w:r>
          </w:p>
        </w:tc>
        <w:tc>
          <w:tcPr>
            <w:tcW w:w="1225"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李峰</w:t>
            </w:r>
          </w:p>
        </w:tc>
        <w:tc>
          <w:tcPr>
            <w:tcW w:w="1225" w:type="dxa"/>
            <w:vMerge w:val="continue"/>
            <w:tcBorders>
              <w:tl2br w:val="nil"/>
              <w:tr2bl w:val="nil"/>
            </w:tcBorders>
            <w:shd w:val="clear" w:color="auto" w:fill="C5E0B3" w:themeFill="accent6" w:themeFillTint="66"/>
            <w:tcMar>
              <w:top w:w="150" w:type="dxa"/>
              <w:left w:w="225" w:type="dxa"/>
              <w:bottom w:w="150" w:type="dxa"/>
              <w:right w:w="225" w:type="dxa"/>
            </w:tcMar>
            <w:vAlign w:val="center"/>
          </w:tcPr>
          <w:p>
            <w:pPr>
              <w:pStyle w:val="12"/>
              <w:shd w:val="clear" w:color="auto" w:fill="FFFFFF"/>
              <w:spacing w:before="0" w:beforeAutospacing="0" w:after="0" w:afterAutospacing="0" w:line="240" w:lineRule="exact"/>
              <w:jc w:val="center"/>
              <w:rPr>
                <w:rFonts w:asciiTheme="minorEastAsia" w:hAnsiTheme="minorEastAsia" w:eastAsiaTheme="minorEastAsia" w:cstheme="minorEastAsia"/>
                <w:sz w:val="22"/>
                <w:szCs w:val="22"/>
                <w:shd w:val="clear" w:color="auto" w:fill="FFFFFF"/>
              </w:rPr>
            </w:pPr>
          </w:p>
        </w:tc>
      </w:tr>
      <w:tr>
        <w:tblPrEx>
          <w:tblBorders>
            <w:top w:val="single" w:color="333333" w:sz="8" w:space="0"/>
            <w:left w:val="single" w:color="333333" w:sz="8" w:space="0"/>
            <w:bottom w:val="single" w:color="333333" w:sz="8" w:space="0"/>
            <w:right w:val="single" w:color="333333" w:sz="8" w:space="0"/>
            <w:insideH w:val="single" w:color="333333" w:sz="8" w:space="0"/>
            <w:insideV w:val="single" w:color="333333" w:sz="8" w:space="0"/>
          </w:tblBorders>
          <w:tblCellMar>
            <w:top w:w="0" w:type="dxa"/>
            <w:left w:w="0" w:type="dxa"/>
            <w:bottom w:w="0" w:type="dxa"/>
            <w:right w:w="0" w:type="dxa"/>
          </w:tblCellMar>
        </w:tblPrEx>
        <w:trPr>
          <w:jc w:val="center"/>
        </w:trPr>
        <w:tc>
          <w:tcPr>
            <w:tcW w:w="740" w:type="dxa"/>
            <w:tcBorders>
              <w:tl2br w:val="nil"/>
              <w:tr2bl w:val="nil"/>
            </w:tcBorders>
            <w:shd w:val="clear" w:color="auto" w:fill="D9E2F3" w:themeFill="accent5" w:themeFillTint="33"/>
            <w:tcMar>
              <w:top w:w="150" w:type="dxa"/>
              <w:left w:w="225" w:type="dxa"/>
              <w:bottom w:w="150" w:type="dxa"/>
              <w:right w:w="225" w:type="dxa"/>
            </w:tcMar>
            <w:vAlign w:val="center"/>
          </w:tcPr>
          <w:p>
            <w:pPr>
              <w:jc w:val="center"/>
            </w:pPr>
            <w:r>
              <w:rPr>
                <w:rFonts w:hint="eastAsia"/>
              </w:rPr>
              <w:t>33</w:t>
            </w:r>
          </w:p>
        </w:tc>
        <w:tc>
          <w:tcPr>
            <w:tcW w:w="2841"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工业机器人技术应用</w:t>
            </w:r>
          </w:p>
        </w:tc>
        <w:tc>
          <w:tcPr>
            <w:tcW w:w="3607"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郑州市科技工业学校</w:t>
            </w:r>
          </w:p>
        </w:tc>
        <w:tc>
          <w:tcPr>
            <w:tcW w:w="1225"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罗素保</w:t>
            </w:r>
          </w:p>
        </w:tc>
        <w:tc>
          <w:tcPr>
            <w:tcW w:w="1225" w:type="dxa"/>
            <w:vMerge w:val="continue"/>
            <w:tcBorders>
              <w:tl2br w:val="nil"/>
              <w:tr2bl w:val="nil"/>
            </w:tcBorders>
            <w:shd w:val="clear" w:color="auto" w:fill="C5E0B3" w:themeFill="accent6" w:themeFillTint="66"/>
            <w:tcMar>
              <w:top w:w="150" w:type="dxa"/>
              <w:left w:w="225" w:type="dxa"/>
              <w:bottom w:w="150" w:type="dxa"/>
              <w:right w:w="225" w:type="dxa"/>
            </w:tcMar>
            <w:vAlign w:val="center"/>
          </w:tcPr>
          <w:p>
            <w:pPr>
              <w:pStyle w:val="12"/>
              <w:shd w:val="clear" w:color="auto" w:fill="FFFFFF"/>
              <w:spacing w:before="0" w:beforeAutospacing="0" w:after="0" w:afterAutospacing="0" w:line="240" w:lineRule="exact"/>
              <w:jc w:val="center"/>
              <w:rPr>
                <w:rFonts w:asciiTheme="minorEastAsia" w:hAnsiTheme="minorEastAsia" w:eastAsiaTheme="minorEastAsia" w:cstheme="minorEastAsia"/>
                <w:sz w:val="22"/>
                <w:szCs w:val="22"/>
                <w:shd w:val="clear" w:color="auto" w:fill="FFFFFF"/>
              </w:rPr>
            </w:pPr>
          </w:p>
        </w:tc>
      </w:tr>
      <w:tr>
        <w:tblPrEx>
          <w:tblBorders>
            <w:top w:val="single" w:color="333333" w:sz="8" w:space="0"/>
            <w:left w:val="single" w:color="333333" w:sz="8" w:space="0"/>
            <w:bottom w:val="single" w:color="333333" w:sz="8" w:space="0"/>
            <w:right w:val="single" w:color="333333" w:sz="8" w:space="0"/>
            <w:insideH w:val="single" w:color="333333" w:sz="8" w:space="0"/>
            <w:insideV w:val="single" w:color="333333" w:sz="8" w:space="0"/>
          </w:tblBorders>
          <w:tblCellMar>
            <w:top w:w="0" w:type="dxa"/>
            <w:left w:w="0" w:type="dxa"/>
            <w:bottom w:w="0" w:type="dxa"/>
            <w:right w:w="0" w:type="dxa"/>
          </w:tblCellMar>
        </w:tblPrEx>
        <w:trPr>
          <w:jc w:val="center"/>
        </w:trPr>
        <w:tc>
          <w:tcPr>
            <w:tcW w:w="740" w:type="dxa"/>
            <w:tcBorders>
              <w:tl2br w:val="nil"/>
              <w:tr2bl w:val="nil"/>
            </w:tcBorders>
            <w:shd w:val="clear" w:color="auto" w:fill="D9E2F3" w:themeFill="accent5" w:themeFillTint="33"/>
            <w:tcMar>
              <w:top w:w="150" w:type="dxa"/>
              <w:left w:w="225" w:type="dxa"/>
              <w:bottom w:w="150" w:type="dxa"/>
              <w:right w:w="225" w:type="dxa"/>
            </w:tcMar>
            <w:vAlign w:val="center"/>
          </w:tcPr>
          <w:p>
            <w:pPr>
              <w:jc w:val="center"/>
            </w:pPr>
            <w:r>
              <w:rPr>
                <w:rFonts w:hint="eastAsia"/>
              </w:rPr>
              <w:t>34</w:t>
            </w:r>
          </w:p>
        </w:tc>
        <w:tc>
          <w:tcPr>
            <w:tcW w:w="2841"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茶艺和茶营销</w:t>
            </w:r>
          </w:p>
        </w:tc>
        <w:tc>
          <w:tcPr>
            <w:tcW w:w="3607"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郑州市财贸学校</w:t>
            </w:r>
          </w:p>
        </w:tc>
        <w:tc>
          <w:tcPr>
            <w:tcW w:w="1225"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杨丽丽</w:t>
            </w:r>
          </w:p>
        </w:tc>
        <w:tc>
          <w:tcPr>
            <w:tcW w:w="1225" w:type="dxa"/>
            <w:vMerge w:val="continue"/>
            <w:tcBorders>
              <w:tl2br w:val="nil"/>
              <w:tr2bl w:val="nil"/>
            </w:tcBorders>
            <w:shd w:val="clear" w:color="auto" w:fill="C5E0B3" w:themeFill="accent6" w:themeFillTint="66"/>
            <w:tcMar>
              <w:top w:w="150" w:type="dxa"/>
              <w:left w:w="225" w:type="dxa"/>
              <w:bottom w:w="150" w:type="dxa"/>
              <w:right w:w="225" w:type="dxa"/>
            </w:tcMar>
            <w:vAlign w:val="center"/>
          </w:tcPr>
          <w:p>
            <w:pPr>
              <w:pStyle w:val="12"/>
              <w:shd w:val="clear" w:color="auto" w:fill="FFFFFF"/>
              <w:spacing w:before="0" w:beforeAutospacing="0" w:after="0" w:afterAutospacing="0" w:line="240" w:lineRule="exact"/>
              <w:jc w:val="center"/>
              <w:rPr>
                <w:rFonts w:asciiTheme="minorEastAsia" w:hAnsiTheme="minorEastAsia" w:eastAsiaTheme="minorEastAsia" w:cstheme="minorEastAsia"/>
                <w:sz w:val="22"/>
                <w:szCs w:val="22"/>
                <w:shd w:val="clear" w:color="auto" w:fill="FFFFFF"/>
              </w:rPr>
            </w:pPr>
          </w:p>
        </w:tc>
      </w:tr>
      <w:tr>
        <w:tblPrEx>
          <w:tblBorders>
            <w:top w:val="single" w:color="333333" w:sz="8" w:space="0"/>
            <w:left w:val="single" w:color="333333" w:sz="8" w:space="0"/>
            <w:bottom w:val="single" w:color="333333" w:sz="8" w:space="0"/>
            <w:right w:val="single" w:color="333333" w:sz="8" w:space="0"/>
            <w:insideH w:val="single" w:color="333333" w:sz="8" w:space="0"/>
            <w:insideV w:val="single" w:color="333333" w:sz="8" w:space="0"/>
          </w:tblBorders>
          <w:tblCellMar>
            <w:top w:w="0" w:type="dxa"/>
            <w:left w:w="0" w:type="dxa"/>
            <w:bottom w:w="0" w:type="dxa"/>
            <w:right w:w="0" w:type="dxa"/>
          </w:tblCellMar>
        </w:tblPrEx>
        <w:trPr>
          <w:jc w:val="center"/>
        </w:trPr>
        <w:tc>
          <w:tcPr>
            <w:tcW w:w="740" w:type="dxa"/>
            <w:tcBorders>
              <w:tl2br w:val="nil"/>
              <w:tr2bl w:val="nil"/>
            </w:tcBorders>
            <w:shd w:val="clear" w:color="auto" w:fill="D9E2F3" w:themeFill="accent5" w:themeFillTint="33"/>
            <w:tcMar>
              <w:top w:w="150" w:type="dxa"/>
              <w:left w:w="225" w:type="dxa"/>
              <w:bottom w:w="150" w:type="dxa"/>
              <w:right w:w="225" w:type="dxa"/>
            </w:tcMar>
            <w:vAlign w:val="center"/>
          </w:tcPr>
          <w:p>
            <w:pPr>
              <w:jc w:val="center"/>
            </w:pPr>
            <w:r>
              <w:rPr>
                <w:rFonts w:hint="eastAsia"/>
              </w:rPr>
              <w:t>35</w:t>
            </w:r>
          </w:p>
        </w:tc>
        <w:tc>
          <w:tcPr>
            <w:tcW w:w="2841"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增材制造专业</w:t>
            </w:r>
          </w:p>
          <w:p>
            <w:pPr>
              <w:jc w:val="center"/>
            </w:pPr>
            <w:r>
              <w:rPr>
                <w:rFonts w:hint="eastAsia"/>
              </w:rPr>
              <w:t>（3D打印技术应用方向）</w:t>
            </w:r>
          </w:p>
        </w:tc>
        <w:tc>
          <w:tcPr>
            <w:tcW w:w="3607"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郑州市国防科技学校</w:t>
            </w:r>
          </w:p>
        </w:tc>
        <w:tc>
          <w:tcPr>
            <w:tcW w:w="1225"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祝丽娟</w:t>
            </w:r>
          </w:p>
        </w:tc>
        <w:tc>
          <w:tcPr>
            <w:tcW w:w="1225" w:type="dxa"/>
            <w:vMerge w:val="continue"/>
            <w:tcBorders>
              <w:tl2br w:val="nil"/>
              <w:tr2bl w:val="nil"/>
            </w:tcBorders>
            <w:shd w:val="clear" w:color="auto" w:fill="C5E0B3" w:themeFill="accent6" w:themeFillTint="66"/>
            <w:tcMar>
              <w:top w:w="150" w:type="dxa"/>
              <w:left w:w="225" w:type="dxa"/>
              <w:bottom w:w="150" w:type="dxa"/>
              <w:right w:w="225" w:type="dxa"/>
            </w:tcMar>
            <w:vAlign w:val="center"/>
          </w:tcPr>
          <w:p>
            <w:pPr>
              <w:pStyle w:val="12"/>
              <w:shd w:val="clear" w:color="auto" w:fill="FFFFFF"/>
              <w:spacing w:before="0" w:beforeAutospacing="0" w:after="0" w:afterAutospacing="0" w:line="240" w:lineRule="exact"/>
              <w:jc w:val="center"/>
              <w:rPr>
                <w:rFonts w:asciiTheme="minorEastAsia" w:hAnsiTheme="minorEastAsia" w:eastAsiaTheme="minorEastAsia" w:cstheme="minorEastAsia"/>
                <w:sz w:val="22"/>
                <w:szCs w:val="22"/>
                <w:shd w:val="clear" w:color="auto" w:fill="FFFFFF"/>
              </w:rPr>
            </w:pPr>
          </w:p>
        </w:tc>
      </w:tr>
      <w:tr>
        <w:tblPrEx>
          <w:tblBorders>
            <w:top w:val="single" w:color="333333" w:sz="8" w:space="0"/>
            <w:left w:val="single" w:color="333333" w:sz="8" w:space="0"/>
            <w:bottom w:val="single" w:color="333333" w:sz="8" w:space="0"/>
            <w:right w:val="single" w:color="333333" w:sz="8" w:space="0"/>
            <w:insideH w:val="single" w:color="333333" w:sz="8" w:space="0"/>
            <w:insideV w:val="single" w:color="333333" w:sz="8" w:space="0"/>
          </w:tblBorders>
          <w:tblCellMar>
            <w:top w:w="0" w:type="dxa"/>
            <w:left w:w="0" w:type="dxa"/>
            <w:bottom w:w="0" w:type="dxa"/>
            <w:right w:w="0" w:type="dxa"/>
          </w:tblCellMar>
        </w:tblPrEx>
        <w:trPr>
          <w:jc w:val="center"/>
        </w:trPr>
        <w:tc>
          <w:tcPr>
            <w:tcW w:w="740" w:type="dxa"/>
            <w:tcBorders>
              <w:tl2br w:val="nil"/>
              <w:tr2bl w:val="nil"/>
            </w:tcBorders>
            <w:shd w:val="clear" w:color="auto" w:fill="D9E2F3" w:themeFill="accent5" w:themeFillTint="33"/>
            <w:tcMar>
              <w:top w:w="150" w:type="dxa"/>
              <w:left w:w="225" w:type="dxa"/>
              <w:bottom w:w="150" w:type="dxa"/>
              <w:right w:w="225" w:type="dxa"/>
            </w:tcMar>
            <w:vAlign w:val="center"/>
          </w:tcPr>
          <w:p>
            <w:pPr>
              <w:jc w:val="center"/>
            </w:pPr>
            <w:r>
              <w:rPr>
                <w:rFonts w:hint="eastAsia"/>
              </w:rPr>
              <w:t>36</w:t>
            </w:r>
          </w:p>
        </w:tc>
        <w:tc>
          <w:tcPr>
            <w:tcW w:w="2841"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视觉传达</w:t>
            </w:r>
          </w:p>
        </w:tc>
        <w:tc>
          <w:tcPr>
            <w:tcW w:w="3607"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郑州市经济贸易学校</w:t>
            </w:r>
          </w:p>
        </w:tc>
        <w:tc>
          <w:tcPr>
            <w:tcW w:w="1225"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杨郑鹏</w:t>
            </w:r>
          </w:p>
        </w:tc>
        <w:tc>
          <w:tcPr>
            <w:tcW w:w="1225" w:type="dxa"/>
            <w:vMerge w:val="continue"/>
            <w:tcBorders>
              <w:tl2br w:val="nil"/>
              <w:tr2bl w:val="nil"/>
            </w:tcBorders>
            <w:shd w:val="clear" w:color="auto" w:fill="C5E0B3" w:themeFill="accent6" w:themeFillTint="66"/>
            <w:tcMar>
              <w:top w:w="150" w:type="dxa"/>
              <w:left w:w="225" w:type="dxa"/>
              <w:bottom w:w="150" w:type="dxa"/>
              <w:right w:w="225" w:type="dxa"/>
            </w:tcMar>
            <w:vAlign w:val="center"/>
          </w:tcPr>
          <w:p>
            <w:pPr>
              <w:pStyle w:val="12"/>
              <w:shd w:val="clear" w:color="auto" w:fill="FFFFFF"/>
              <w:spacing w:before="0" w:beforeAutospacing="0" w:after="0" w:afterAutospacing="0" w:line="240" w:lineRule="exact"/>
              <w:jc w:val="center"/>
              <w:rPr>
                <w:rFonts w:asciiTheme="minorEastAsia" w:hAnsiTheme="minorEastAsia" w:eastAsiaTheme="minorEastAsia" w:cstheme="minorEastAsia"/>
                <w:sz w:val="22"/>
                <w:szCs w:val="22"/>
                <w:shd w:val="clear" w:color="auto" w:fill="FFFFFF"/>
              </w:rPr>
            </w:pPr>
          </w:p>
        </w:tc>
      </w:tr>
      <w:tr>
        <w:tblPrEx>
          <w:tblBorders>
            <w:top w:val="single" w:color="333333" w:sz="8" w:space="0"/>
            <w:left w:val="single" w:color="333333" w:sz="8" w:space="0"/>
            <w:bottom w:val="single" w:color="333333" w:sz="8" w:space="0"/>
            <w:right w:val="single" w:color="333333" w:sz="8" w:space="0"/>
            <w:insideH w:val="single" w:color="333333" w:sz="8" w:space="0"/>
            <w:insideV w:val="single" w:color="333333" w:sz="8" w:space="0"/>
          </w:tblBorders>
          <w:tblCellMar>
            <w:top w:w="0" w:type="dxa"/>
            <w:left w:w="0" w:type="dxa"/>
            <w:bottom w:w="0" w:type="dxa"/>
            <w:right w:w="0" w:type="dxa"/>
          </w:tblCellMar>
        </w:tblPrEx>
        <w:trPr>
          <w:jc w:val="center"/>
        </w:trPr>
        <w:tc>
          <w:tcPr>
            <w:tcW w:w="740" w:type="dxa"/>
            <w:tcBorders>
              <w:tl2br w:val="nil"/>
              <w:tr2bl w:val="nil"/>
            </w:tcBorders>
            <w:shd w:val="clear" w:color="auto" w:fill="D9E2F3" w:themeFill="accent5" w:themeFillTint="33"/>
            <w:tcMar>
              <w:top w:w="150" w:type="dxa"/>
              <w:left w:w="225" w:type="dxa"/>
              <w:bottom w:w="150" w:type="dxa"/>
              <w:right w:w="225" w:type="dxa"/>
            </w:tcMar>
            <w:vAlign w:val="center"/>
          </w:tcPr>
          <w:p>
            <w:pPr>
              <w:jc w:val="center"/>
            </w:pPr>
            <w:r>
              <w:rPr>
                <w:rFonts w:hint="eastAsia"/>
              </w:rPr>
              <w:t>37</w:t>
            </w:r>
          </w:p>
        </w:tc>
        <w:tc>
          <w:tcPr>
            <w:tcW w:w="2841"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网络营销</w:t>
            </w:r>
          </w:p>
        </w:tc>
        <w:tc>
          <w:tcPr>
            <w:tcW w:w="3607"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郑州市金融学校</w:t>
            </w:r>
          </w:p>
        </w:tc>
        <w:tc>
          <w:tcPr>
            <w:tcW w:w="1225"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程虹</w:t>
            </w:r>
          </w:p>
        </w:tc>
        <w:tc>
          <w:tcPr>
            <w:tcW w:w="1225" w:type="dxa"/>
            <w:vMerge w:val="continue"/>
            <w:tcBorders>
              <w:tl2br w:val="nil"/>
              <w:tr2bl w:val="nil"/>
            </w:tcBorders>
            <w:shd w:val="clear" w:color="auto" w:fill="C5E0B3" w:themeFill="accent6" w:themeFillTint="66"/>
            <w:tcMar>
              <w:top w:w="150" w:type="dxa"/>
              <w:left w:w="225" w:type="dxa"/>
              <w:bottom w:w="150" w:type="dxa"/>
              <w:right w:w="225" w:type="dxa"/>
            </w:tcMar>
            <w:vAlign w:val="center"/>
          </w:tcPr>
          <w:p>
            <w:pPr>
              <w:pStyle w:val="12"/>
              <w:shd w:val="clear" w:color="auto" w:fill="FFFFFF"/>
              <w:spacing w:before="0" w:beforeAutospacing="0" w:after="0" w:afterAutospacing="0" w:line="240" w:lineRule="exact"/>
              <w:jc w:val="center"/>
              <w:rPr>
                <w:rFonts w:asciiTheme="minorEastAsia" w:hAnsiTheme="minorEastAsia" w:eastAsiaTheme="minorEastAsia" w:cstheme="minorEastAsia"/>
                <w:sz w:val="22"/>
                <w:szCs w:val="22"/>
                <w:shd w:val="clear" w:color="auto" w:fill="FFFFFF"/>
              </w:rPr>
            </w:pPr>
          </w:p>
        </w:tc>
      </w:tr>
      <w:tr>
        <w:tblPrEx>
          <w:tblBorders>
            <w:top w:val="single" w:color="333333" w:sz="8" w:space="0"/>
            <w:left w:val="single" w:color="333333" w:sz="8" w:space="0"/>
            <w:bottom w:val="single" w:color="333333" w:sz="8" w:space="0"/>
            <w:right w:val="single" w:color="333333" w:sz="8" w:space="0"/>
            <w:insideH w:val="single" w:color="333333" w:sz="8" w:space="0"/>
            <w:insideV w:val="single" w:color="333333" w:sz="8" w:space="0"/>
          </w:tblBorders>
          <w:tblCellMar>
            <w:top w:w="0" w:type="dxa"/>
            <w:left w:w="0" w:type="dxa"/>
            <w:bottom w:w="0" w:type="dxa"/>
            <w:right w:w="0" w:type="dxa"/>
          </w:tblCellMar>
        </w:tblPrEx>
        <w:trPr>
          <w:jc w:val="center"/>
        </w:trPr>
        <w:tc>
          <w:tcPr>
            <w:tcW w:w="740" w:type="dxa"/>
            <w:tcBorders>
              <w:tl2br w:val="nil"/>
              <w:tr2bl w:val="nil"/>
            </w:tcBorders>
            <w:shd w:val="clear" w:color="auto" w:fill="D9E2F3" w:themeFill="accent5" w:themeFillTint="33"/>
            <w:tcMar>
              <w:top w:w="150" w:type="dxa"/>
              <w:left w:w="225" w:type="dxa"/>
              <w:bottom w:w="150" w:type="dxa"/>
              <w:right w:w="225" w:type="dxa"/>
            </w:tcMar>
            <w:vAlign w:val="center"/>
          </w:tcPr>
          <w:p>
            <w:pPr>
              <w:jc w:val="center"/>
            </w:pPr>
            <w:r>
              <w:rPr>
                <w:rFonts w:hint="eastAsia"/>
              </w:rPr>
              <w:t>38</w:t>
            </w:r>
          </w:p>
        </w:tc>
        <w:tc>
          <w:tcPr>
            <w:tcW w:w="2841"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建筑工程施工</w:t>
            </w:r>
          </w:p>
        </w:tc>
        <w:tc>
          <w:tcPr>
            <w:tcW w:w="3607"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郑州机电工程学校</w:t>
            </w:r>
          </w:p>
        </w:tc>
        <w:tc>
          <w:tcPr>
            <w:tcW w:w="1225" w:type="dxa"/>
            <w:tcBorders>
              <w:tl2br w:val="nil"/>
              <w:tr2bl w:val="nil"/>
            </w:tcBorders>
            <w:shd w:val="clear" w:color="auto" w:fill="C5E0B3" w:themeFill="accent6" w:themeFillTint="66"/>
            <w:tcMar>
              <w:top w:w="150" w:type="dxa"/>
              <w:left w:w="225" w:type="dxa"/>
              <w:bottom w:w="150" w:type="dxa"/>
              <w:right w:w="225" w:type="dxa"/>
            </w:tcMar>
            <w:vAlign w:val="center"/>
          </w:tcPr>
          <w:p>
            <w:pPr>
              <w:jc w:val="center"/>
            </w:pPr>
            <w:r>
              <w:rPr>
                <w:rFonts w:hint="eastAsia"/>
              </w:rPr>
              <w:t>乔红亚</w:t>
            </w:r>
          </w:p>
        </w:tc>
        <w:tc>
          <w:tcPr>
            <w:tcW w:w="1225" w:type="dxa"/>
            <w:vMerge w:val="continue"/>
            <w:tcBorders>
              <w:tl2br w:val="nil"/>
              <w:tr2bl w:val="nil"/>
            </w:tcBorders>
            <w:shd w:val="clear" w:color="auto" w:fill="C5E0B3" w:themeFill="accent6" w:themeFillTint="66"/>
            <w:tcMar>
              <w:top w:w="150" w:type="dxa"/>
              <w:left w:w="225" w:type="dxa"/>
              <w:bottom w:w="150" w:type="dxa"/>
              <w:right w:w="225" w:type="dxa"/>
            </w:tcMar>
            <w:vAlign w:val="center"/>
          </w:tcPr>
          <w:p>
            <w:pPr>
              <w:pStyle w:val="12"/>
              <w:shd w:val="clear" w:color="auto" w:fill="FFFFFF"/>
              <w:spacing w:before="0" w:beforeAutospacing="0" w:after="0" w:afterAutospacing="0" w:line="240" w:lineRule="exact"/>
              <w:jc w:val="center"/>
              <w:rPr>
                <w:rFonts w:asciiTheme="minorEastAsia" w:hAnsiTheme="minorEastAsia" w:eastAsiaTheme="minorEastAsia" w:cstheme="minorEastAsia"/>
                <w:sz w:val="22"/>
                <w:szCs w:val="22"/>
                <w:shd w:val="clear" w:color="auto" w:fill="FFFFFF"/>
              </w:rPr>
            </w:pPr>
          </w:p>
        </w:tc>
      </w:tr>
    </w:tbl>
    <w:p/>
    <w:p>
      <w:pPr>
        <w:pStyle w:val="12"/>
        <w:shd w:val="clear" w:color="auto" w:fill="FFFFFF"/>
        <w:spacing w:before="0" w:beforeAutospacing="0" w:after="0" w:afterAutospacing="0"/>
        <w:jc w:val="center"/>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表3-5：河南省中等职业学校专业技能工作室名单（9个）</w:t>
      </w:r>
    </w:p>
    <w:tbl>
      <w:tblPr>
        <w:tblStyle w:val="14"/>
        <w:tblW w:w="10201"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2"/>
        <w:gridCol w:w="4489"/>
        <w:gridCol w:w="2677"/>
        <w:gridCol w:w="1384"/>
        <w:gridCol w:w="1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612" w:type="dxa"/>
            <w:shd w:val="clear" w:color="auto" w:fill="D9E2F3" w:themeFill="accent5" w:themeFillTint="33"/>
            <w:vAlign w:val="center"/>
          </w:tcPr>
          <w:p>
            <w:pPr>
              <w:widowControl/>
              <w:spacing w:line="420" w:lineRule="exact"/>
              <w:jc w:val="center"/>
              <w:textAlignment w:val="center"/>
              <w:rPr>
                <w:rFonts w:ascii="黑体" w:hAnsi="黑体" w:eastAsia="黑体" w:cs="黑体"/>
                <w:kern w:val="0"/>
                <w:sz w:val="22"/>
                <w:szCs w:val="22"/>
                <w:lang w:bidi="ar"/>
              </w:rPr>
            </w:pPr>
            <w:r>
              <w:rPr>
                <w:rFonts w:hint="eastAsia" w:ascii="黑体" w:hAnsi="黑体" w:eastAsia="黑体" w:cs="黑体"/>
                <w:kern w:val="0"/>
                <w:sz w:val="22"/>
                <w:szCs w:val="22"/>
                <w:lang w:bidi="ar"/>
              </w:rPr>
              <w:t>序号</w:t>
            </w:r>
          </w:p>
        </w:tc>
        <w:tc>
          <w:tcPr>
            <w:tcW w:w="4489" w:type="dxa"/>
            <w:shd w:val="clear" w:color="auto" w:fill="D9E2F3" w:themeFill="accent5" w:themeFillTint="33"/>
            <w:vAlign w:val="center"/>
          </w:tcPr>
          <w:p>
            <w:pPr>
              <w:widowControl/>
              <w:spacing w:line="420" w:lineRule="exact"/>
              <w:jc w:val="center"/>
              <w:textAlignment w:val="center"/>
              <w:rPr>
                <w:rFonts w:ascii="黑体" w:hAnsi="黑体" w:eastAsia="黑体" w:cs="黑体"/>
              </w:rPr>
            </w:pPr>
            <w:r>
              <w:rPr>
                <w:rFonts w:hint="eastAsia" w:ascii="黑体" w:hAnsi="黑体" w:eastAsia="黑体" w:cs="黑体"/>
                <w:kern w:val="0"/>
                <w:sz w:val="22"/>
                <w:szCs w:val="22"/>
                <w:lang w:bidi="ar"/>
              </w:rPr>
              <w:t>工作室名称</w:t>
            </w:r>
          </w:p>
        </w:tc>
        <w:tc>
          <w:tcPr>
            <w:tcW w:w="2677" w:type="dxa"/>
            <w:shd w:val="clear" w:color="auto" w:fill="D9E2F3" w:themeFill="accent5" w:themeFillTint="33"/>
            <w:vAlign w:val="center"/>
          </w:tcPr>
          <w:p>
            <w:pPr>
              <w:widowControl/>
              <w:spacing w:line="420" w:lineRule="exact"/>
              <w:jc w:val="center"/>
              <w:textAlignment w:val="center"/>
              <w:rPr>
                <w:rFonts w:ascii="黑体" w:hAnsi="黑体" w:eastAsia="黑体" w:cs="黑体"/>
              </w:rPr>
            </w:pPr>
            <w:r>
              <w:rPr>
                <w:rFonts w:hint="eastAsia" w:ascii="黑体" w:hAnsi="黑体" w:eastAsia="黑体" w:cs="黑体"/>
                <w:kern w:val="0"/>
                <w:sz w:val="22"/>
                <w:szCs w:val="22"/>
                <w:lang w:bidi="ar"/>
              </w:rPr>
              <w:t>所在学校名称</w:t>
            </w:r>
          </w:p>
        </w:tc>
        <w:tc>
          <w:tcPr>
            <w:tcW w:w="1384" w:type="dxa"/>
            <w:shd w:val="clear" w:color="auto" w:fill="D9E2F3" w:themeFill="accent5" w:themeFillTint="33"/>
            <w:vAlign w:val="center"/>
          </w:tcPr>
          <w:p>
            <w:pPr>
              <w:widowControl/>
              <w:spacing w:line="420" w:lineRule="exact"/>
              <w:jc w:val="center"/>
              <w:textAlignment w:val="center"/>
              <w:rPr>
                <w:rFonts w:ascii="黑体" w:hAnsi="黑体" w:eastAsia="黑体" w:cs="黑体"/>
              </w:rPr>
            </w:pPr>
            <w:r>
              <w:rPr>
                <w:rFonts w:hint="eastAsia" w:ascii="黑体" w:hAnsi="黑体" w:eastAsia="黑体" w:cs="黑体"/>
                <w:kern w:val="0"/>
                <w:sz w:val="22"/>
                <w:szCs w:val="22"/>
                <w:lang w:bidi="ar"/>
              </w:rPr>
              <w:t>专业大类</w:t>
            </w:r>
          </w:p>
        </w:tc>
        <w:tc>
          <w:tcPr>
            <w:tcW w:w="1039" w:type="dxa"/>
            <w:shd w:val="clear" w:color="auto" w:fill="D9E2F3" w:themeFill="accent5" w:themeFillTint="33"/>
            <w:vAlign w:val="center"/>
          </w:tcPr>
          <w:p>
            <w:pPr>
              <w:widowControl/>
              <w:spacing w:line="420" w:lineRule="exact"/>
              <w:jc w:val="center"/>
              <w:textAlignment w:val="center"/>
              <w:rPr>
                <w:rFonts w:ascii="黑体" w:hAnsi="黑体" w:eastAsia="黑体" w:cs="黑体"/>
              </w:rPr>
            </w:pPr>
            <w:r>
              <w:rPr>
                <w:rFonts w:hint="eastAsia" w:ascii="黑体" w:hAnsi="黑体" w:eastAsia="黑体" w:cs="黑体"/>
                <w:kern w:val="0"/>
                <w:sz w:val="22"/>
                <w:szCs w:val="22"/>
                <w:lang w:bidi="ar"/>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shd w:val="clear" w:color="auto" w:fill="D9E2F3" w:themeFill="accent5" w:themeFillTint="33"/>
            <w:vAlign w:val="center"/>
          </w:tcPr>
          <w:p>
            <w:pPr>
              <w:widowControl w:val="0"/>
              <w:jc w:val="center"/>
            </w:pPr>
            <w:r>
              <w:rPr>
                <w:rFonts w:hint="eastAsia"/>
              </w:rPr>
              <w:t>1</w:t>
            </w:r>
          </w:p>
        </w:tc>
        <w:tc>
          <w:tcPr>
            <w:tcW w:w="4489" w:type="dxa"/>
            <w:shd w:val="clear" w:color="auto" w:fill="C5E0B3" w:themeFill="accent6" w:themeFillTint="66"/>
            <w:vAlign w:val="center"/>
          </w:tcPr>
          <w:p>
            <w:pPr>
              <w:widowControl w:val="0"/>
              <w:jc w:val="center"/>
            </w:pPr>
            <w:r>
              <w:rPr>
                <w:rFonts w:hint="eastAsia"/>
              </w:rPr>
              <w:t>河南省中等职业教育机电技术应用专业</w:t>
            </w:r>
          </w:p>
          <w:p>
            <w:pPr>
              <w:widowControl w:val="0"/>
              <w:jc w:val="center"/>
            </w:pPr>
            <w:r>
              <w:rPr>
                <w:rFonts w:hint="eastAsia"/>
              </w:rPr>
              <w:t>李良工作室</w:t>
            </w:r>
          </w:p>
        </w:tc>
        <w:tc>
          <w:tcPr>
            <w:tcW w:w="2677" w:type="dxa"/>
            <w:shd w:val="clear" w:color="auto" w:fill="C5E0B3" w:themeFill="accent6" w:themeFillTint="66"/>
            <w:vAlign w:val="center"/>
          </w:tcPr>
          <w:p>
            <w:pPr>
              <w:widowControl w:val="0"/>
              <w:jc w:val="center"/>
            </w:pPr>
            <w:r>
              <w:rPr>
                <w:rFonts w:hint="eastAsia"/>
              </w:rPr>
              <w:t>郑州市电子信息工程学校</w:t>
            </w:r>
          </w:p>
        </w:tc>
        <w:tc>
          <w:tcPr>
            <w:tcW w:w="1384" w:type="dxa"/>
            <w:shd w:val="clear" w:color="auto" w:fill="C5E0B3" w:themeFill="accent6" w:themeFillTint="66"/>
            <w:vAlign w:val="center"/>
          </w:tcPr>
          <w:p>
            <w:pPr>
              <w:widowControl w:val="0"/>
              <w:jc w:val="center"/>
            </w:pPr>
            <w:r>
              <w:rPr>
                <w:rFonts w:hint="eastAsia"/>
              </w:rPr>
              <w:t>加工制造类</w:t>
            </w:r>
          </w:p>
        </w:tc>
        <w:tc>
          <w:tcPr>
            <w:tcW w:w="1039" w:type="dxa"/>
            <w:vMerge w:val="restart"/>
            <w:shd w:val="clear" w:color="auto" w:fill="C5E0B3" w:themeFill="accent6" w:themeFillTint="66"/>
            <w:vAlign w:val="center"/>
          </w:tcPr>
          <w:p>
            <w:pPr>
              <w:widowControl w:val="0"/>
              <w:jc w:val="center"/>
            </w:pPr>
            <w:r>
              <w:rPr>
                <w:rFonts w:hint="eastAsia"/>
              </w:rPr>
              <w:t>2014年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shd w:val="clear" w:color="auto" w:fill="D9E2F3" w:themeFill="accent5" w:themeFillTint="33"/>
            <w:vAlign w:val="center"/>
          </w:tcPr>
          <w:p>
            <w:pPr>
              <w:widowControl w:val="0"/>
              <w:jc w:val="center"/>
            </w:pPr>
            <w:r>
              <w:rPr>
                <w:rFonts w:hint="eastAsia"/>
              </w:rPr>
              <w:t>2</w:t>
            </w:r>
          </w:p>
        </w:tc>
        <w:tc>
          <w:tcPr>
            <w:tcW w:w="4489" w:type="dxa"/>
            <w:shd w:val="clear" w:color="auto" w:fill="C5E0B3" w:themeFill="accent6" w:themeFillTint="66"/>
            <w:vAlign w:val="center"/>
          </w:tcPr>
          <w:p>
            <w:pPr>
              <w:widowControl w:val="0"/>
              <w:jc w:val="center"/>
            </w:pPr>
            <w:r>
              <w:rPr>
                <w:rFonts w:hint="eastAsia"/>
              </w:rPr>
              <w:t>河南省中等职业教育汽车运用与维修专业</w:t>
            </w:r>
          </w:p>
          <w:p>
            <w:pPr>
              <w:widowControl w:val="0"/>
              <w:jc w:val="center"/>
            </w:pPr>
            <w:r>
              <w:rPr>
                <w:rFonts w:hint="eastAsia"/>
              </w:rPr>
              <w:t>高飞工作室</w:t>
            </w:r>
          </w:p>
        </w:tc>
        <w:tc>
          <w:tcPr>
            <w:tcW w:w="2677" w:type="dxa"/>
            <w:shd w:val="clear" w:color="auto" w:fill="C5E0B3" w:themeFill="accent6" w:themeFillTint="66"/>
            <w:vAlign w:val="center"/>
          </w:tcPr>
          <w:p>
            <w:pPr>
              <w:widowControl w:val="0"/>
              <w:jc w:val="center"/>
            </w:pPr>
            <w:r>
              <w:rPr>
                <w:rFonts w:hint="eastAsia"/>
              </w:rPr>
              <w:t>郑州市国防科技学校</w:t>
            </w:r>
          </w:p>
        </w:tc>
        <w:tc>
          <w:tcPr>
            <w:tcW w:w="1384" w:type="dxa"/>
            <w:shd w:val="clear" w:color="auto" w:fill="C5E0B3" w:themeFill="accent6" w:themeFillTint="66"/>
            <w:vAlign w:val="center"/>
          </w:tcPr>
          <w:p>
            <w:pPr>
              <w:widowControl w:val="0"/>
              <w:jc w:val="center"/>
            </w:pPr>
            <w:r>
              <w:rPr>
                <w:rFonts w:hint="eastAsia"/>
              </w:rPr>
              <w:t>交通运输类</w:t>
            </w:r>
          </w:p>
        </w:tc>
        <w:tc>
          <w:tcPr>
            <w:tcW w:w="1039" w:type="dxa"/>
            <w:vMerge w:val="continue"/>
            <w:shd w:val="clear" w:color="auto" w:fill="C5E0B3" w:themeFill="accent6" w:themeFillTint="66"/>
            <w:vAlign w:val="center"/>
          </w:tcPr>
          <w:p>
            <w:pPr>
              <w:widowControl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shd w:val="clear" w:color="auto" w:fill="D9E2F3" w:themeFill="accent5" w:themeFillTint="33"/>
            <w:vAlign w:val="center"/>
          </w:tcPr>
          <w:p>
            <w:pPr>
              <w:widowControl w:val="0"/>
              <w:jc w:val="center"/>
            </w:pPr>
            <w:r>
              <w:rPr>
                <w:rFonts w:hint="eastAsia"/>
              </w:rPr>
              <w:t>3</w:t>
            </w:r>
          </w:p>
        </w:tc>
        <w:tc>
          <w:tcPr>
            <w:tcW w:w="4489" w:type="dxa"/>
            <w:shd w:val="clear" w:color="auto" w:fill="C5E0B3" w:themeFill="accent6" w:themeFillTint="66"/>
            <w:vAlign w:val="center"/>
          </w:tcPr>
          <w:p>
            <w:pPr>
              <w:widowControl w:val="0"/>
              <w:jc w:val="center"/>
            </w:pPr>
            <w:r>
              <w:rPr>
                <w:rFonts w:hint="eastAsia"/>
              </w:rPr>
              <w:t>河南省中等职业教育美术设计与制作专业</w:t>
            </w:r>
          </w:p>
          <w:p>
            <w:pPr>
              <w:widowControl w:val="0"/>
              <w:jc w:val="center"/>
            </w:pPr>
            <w:r>
              <w:rPr>
                <w:rFonts w:hint="eastAsia"/>
              </w:rPr>
              <w:t>孟建军工作室</w:t>
            </w:r>
          </w:p>
        </w:tc>
        <w:tc>
          <w:tcPr>
            <w:tcW w:w="2677" w:type="dxa"/>
            <w:shd w:val="clear" w:color="auto" w:fill="C5E0B3" w:themeFill="accent6" w:themeFillTint="66"/>
            <w:vAlign w:val="center"/>
          </w:tcPr>
          <w:p>
            <w:pPr>
              <w:widowControl w:val="0"/>
              <w:jc w:val="center"/>
            </w:pPr>
            <w:r>
              <w:rPr>
                <w:rFonts w:hint="eastAsia"/>
              </w:rPr>
              <w:t>郑州艺术幼儿师范学校</w:t>
            </w:r>
          </w:p>
        </w:tc>
        <w:tc>
          <w:tcPr>
            <w:tcW w:w="1384" w:type="dxa"/>
            <w:shd w:val="clear" w:color="auto" w:fill="C5E0B3" w:themeFill="accent6" w:themeFillTint="66"/>
            <w:vAlign w:val="center"/>
          </w:tcPr>
          <w:p>
            <w:pPr>
              <w:widowControl w:val="0"/>
              <w:jc w:val="center"/>
            </w:pPr>
            <w:r>
              <w:rPr>
                <w:rFonts w:hint="eastAsia"/>
              </w:rPr>
              <w:t>文化艺术类</w:t>
            </w:r>
          </w:p>
        </w:tc>
        <w:tc>
          <w:tcPr>
            <w:tcW w:w="1039" w:type="dxa"/>
            <w:shd w:val="clear" w:color="auto" w:fill="C5E0B3" w:themeFill="accent6" w:themeFillTint="66"/>
            <w:vAlign w:val="center"/>
          </w:tcPr>
          <w:p>
            <w:pPr>
              <w:widowControl w:val="0"/>
              <w:jc w:val="center"/>
            </w:pPr>
            <w:r>
              <w:rPr>
                <w:rFonts w:hint="eastAsia"/>
              </w:rPr>
              <w:t>2015年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shd w:val="clear" w:color="auto" w:fill="D9E2F3" w:themeFill="accent5" w:themeFillTint="33"/>
            <w:vAlign w:val="center"/>
          </w:tcPr>
          <w:p>
            <w:pPr>
              <w:widowControl w:val="0"/>
              <w:jc w:val="center"/>
            </w:pPr>
            <w:r>
              <w:rPr>
                <w:rFonts w:hint="eastAsia"/>
              </w:rPr>
              <w:t>4</w:t>
            </w:r>
          </w:p>
        </w:tc>
        <w:tc>
          <w:tcPr>
            <w:tcW w:w="4489" w:type="dxa"/>
            <w:shd w:val="clear" w:color="auto" w:fill="C5E0B3" w:themeFill="accent6" w:themeFillTint="66"/>
            <w:vAlign w:val="center"/>
          </w:tcPr>
          <w:p>
            <w:pPr>
              <w:widowControl w:val="0"/>
              <w:jc w:val="center"/>
            </w:pPr>
            <w:r>
              <w:rPr>
                <w:rFonts w:hint="eastAsia"/>
              </w:rPr>
              <w:t>河南省中等职业教育物流服务与管理专业</w:t>
            </w:r>
          </w:p>
          <w:p>
            <w:pPr>
              <w:widowControl w:val="0"/>
              <w:jc w:val="center"/>
            </w:pPr>
            <w:r>
              <w:rPr>
                <w:rFonts w:hint="eastAsia"/>
              </w:rPr>
              <w:t>周慧工作室</w:t>
            </w:r>
          </w:p>
        </w:tc>
        <w:tc>
          <w:tcPr>
            <w:tcW w:w="2677" w:type="dxa"/>
            <w:shd w:val="clear" w:color="auto" w:fill="C5E0B3" w:themeFill="accent6" w:themeFillTint="66"/>
            <w:vAlign w:val="center"/>
          </w:tcPr>
          <w:p>
            <w:pPr>
              <w:widowControl w:val="0"/>
              <w:jc w:val="center"/>
            </w:pPr>
            <w:r>
              <w:rPr>
                <w:rFonts w:hint="eastAsia"/>
              </w:rPr>
              <w:t>郑州市经济贸易学校</w:t>
            </w:r>
          </w:p>
        </w:tc>
        <w:tc>
          <w:tcPr>
            <w:tcW w:w="1384" w:type="dxa"/>
            <w:shd w:val="clear" w:color="auto" w:fill="C5E0B3" w:themeFill="accent6" w:themeFillTint="66"/>
            <w:vAlign w:val="center"/>
          </w:tcPr>
          <w:p>
            <w:pPr>
              <w:widowControl w:val="0"/>
              <w:jc w:val="center"/>
            </w:pPr>
            <w:r>
              <w:rPr>
                <w:rFonts w:hint="eastAsia"/>
              </w:rPr>
              <w:t>财经商贸类</w:t>
            </w:r>
          </w:p>
        </w:tc>
        <w:tc>
          <w:tcPr>
            <w:tcW w:w="1039" w:type="dxa"/>
            <w:vMerge w:val="restart"/>
            <w:shd w:val="clear" w:color="auto" w:fill="C5E0B3" w:themeFill="accent6" w:themeFillTint="66"/>
            <w:vAlign w:val="center"/>
          </w:tcPr>
          <w:p>
            <w:pPr>
              <w:widowControl w:val="0"/>
              <w:jc w:val="center"/>
            </w:pPr>
            <w:r>
              <w:rPr>
                <w:rFonts w:hint="eastAsia"/>
              </w:rPr>
              <w:t>2016年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shd w:val="clear" w:color="auto" w:fill="D9E2F3" w:themeFill="accent5" w:themeFillTint="33"/>
            <w:vAlign w:val="center"/>
          </w:tcPr>
          <w:p>
            <w:pPr>
              <w:widowControl w:val="0"/>
              <w:jc w:val="center"/>
            </w:pPr>
            <w:r>
              <w:rPr>
                <w:rFonts w:hint="eastAsia"/>
              </w:rPr>
              <w:t>5</w:t>
            </w:r>
          </w:p>
        </w:tc>
        <w:tc>
          <w:tcPr>
            <w:tcW w:w="4489" w:type="dxa"/>
            <w:shd w:val="clear" w:color="auto" w:fill="C5E0B3" w:themeFill="accent6" w:themeFillTint="66"/>
            <w:vAlign w:val="center"/>
          </w:tcPr>
          <w:p>
            <w:pPr>
              <w:widowControl w:val="0"/>
              <w:jc w:val="center"/>
            </w:pPr>
            <w:r>
              <w:rPr>
                <w:rFonts w:hint="eastAsia"/>
              </w:rPr>
              <w:t>河南省中等职业教育服装设计与工艺专业</w:t>
            </w:r>
          </w:p>
          <w:p>
            <w:pPr>
              <w:widowControl w:val="0"/>
              <w:jc w:val="center"/>
            </w:pPr>
            <w:r>
              <w:rPr>
                <w:rFonts w:hint="eastAsia"/>
              </w:rPr>
              <w:t>花芬工作室</w:t>
            </w:r>
          </w:p>
        </w:tc>
        <w:tc>
          <w:tcPr>
            <w:tcW w:w="2677" w:type="dxa"/>
            <w:shd w:val="clear" w:color="auto" w:fill="C5E0B3" w:themeFill="accent6" w:themeFillTint="66"/>
            <w:vAlign w:val="center"/>
          </w:tcPr>
          <w:p>
            <w:pPr>
              <w:widowControl w:val="0"/>
              <w:jc w:val="center"/>
            </w:pPr>
            <w:r>
              <w:rPr>
                <w:rFonts w:hint="eastAsia"/>
              </w:rPr>
              <w:t>郑州市科技工业学校</w:t>
            </w:r>
          </w:p>
        </w:tc>
        <w:tc>
          <w:tcPr>
            <w:tcW w:w="1384" w:type="dxa"/>
            <w:shd w:val="clear" w:color="auto" w:fill="C5E0B3" w:themeFill="accent6" w:themeFillTint="66"/>
            <w:vAlign w:val="center"/>
          </w:tcPr>
          <w:p>
            <w:pPr>
              <w:widowControl w:val="0"/>
              <w:jc w:val="center"/>
            </w:pPr>
            <w:r>
              <w:rPr>
                <w:rFonts w:hint="eastAsia"/>
              </w:rPr>
              <w:t>文化艺术类</w:t>
            </w:r>
          </w:p>
        </w:tc>
        <w:tc>
          <w:tcPr>
            <w:tcW w:w="1039" w:type="dxa"/>
            <w:vMerge w:val="continue"/>
            <w:shd w:val="clear" w:color="auto" w:fill="C5E0B3" w:themeFill="accent6" w:themeFillTint="66"/>
            <w:vAlign w:val="center"/>
          </w:tcPr>
          <w:p>
            <w:pPr>
              <w:widowControl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shd w:val="clear" w:color="auto" w:fill="D9E2F3" w:themeFill="accent5" w:themeFillTint="33"/>
            <w:vAlign w:val="center"/>
          </w:tcPr>
          <w:p>
            <w:pPr>
              <w:widowControl w:val="0"/>
              <w:jc w:val="center"/>
            </w:pPr>
            <w:r>
              <w:rPr>
                <w:rFonts w:hint="eastAsia"/>
              </w:rPr>
              <w:t>6</w:t>
            </w:r>
          </w:p>
        </w:tc>
        <w:tc>
          <w:tcPr>
            <w:tcW w:w="4489" w:type="dxa"/>
            <w:shd w:val="clear" w:color="auto" w:fill="C5E0B3" w:themeFill="accent6" w:themeFillTint="66"/>
            <w:vAlign w:val="center"/>
          </w:tcPr>
          <w:p>
            <w:pPr>
              <w:widowControl w:val="0"/>
              <w:jc w:val="center"/>
            </w:pPr>
            <w:r>
              <w:rPr>
                <w:rFonts w:hint="eastAsia"/>
              </w:rPr>
              <w:t>河南省中等职业教育计算机动漫与游戏制作专业 王立梅工作室</w:t>
            </w:r>
          </w:p>
        </w:tc>
        <w:tc>
          <w:tcPr>
            <w:tcW w:w="2677" w:type="dxa"/>
            <w:shd w:val="clear" w:color="auto" w:fill="C5E0B3" w:themeFill="accent6" w:themeFillTint="66"/>
            <w:vAlign w:val="center"/>
          </w:tcPr>
          <w:p>
            <w:pPr>
              <w:widowControl w:val="0"/>
              <w:jc w:val="center"/>
            </w:pPr>
            <w:r>
              <w:rPr>
                <w:rFonts w:hint="eastAsia"/>
              </w:rPr>
              <w:t>郑州市国防科技学校</w:t>
            </w:r>
          </w:p>
        </w:tc>
        <w:tc>
          <w:tcPr>
            <w:tcW w:w="1384" w:type="dxa"/>
            <w:shd w:val="clear" w:color="auto" w:fill="C5E0B3" w:themeFill="accent6" w:themeFillTint="66"/>
            <w:vAlign w:val="center"/>
          </w:tcPr>
          <w:p>
            <w:pPr>
              <w:widowControl w:val="0"/>
              <w:jc w:val="center"/>
            </w:pPr>
            <w:r>
              <w:rPr>
                <w:rFonts w:hint="eastAsia"/>
              </w:rPr>
              <w:t>信息技术类</w:t>
            </w:r>
          </w:p>
        </w:tc>
        <w:tc>
          <w:tcPr>
            <w:tcW w:w="1039" w:type="dxa"/>
            <w:vMerge w:val="restart"/>
            <w:shd w:val="clear" w:color="auto" w:fill="C5E0B3" w:themeFill="accent6" w:themeFillTint="66"/>
            <w:vAlign w:val="center"/>
          </w:tcPr>
          <w:p>
            <w:pPr>
              <w:widowControl w:val="0"/>
              <w:jc w:val="center"/>
            </w:pPr>
            <w:r>
              <w:rPr>
                <w:rFonts w:hint="eastAsia"/>
              </w:rPr>
              <w:t>2017年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shd w:val="clear" w:color="auto" w:fill="D9E2F3" w:themeFill="accent5" w:themeFillTint="33"/>
            <w:vAlign w:val="center"/>
          </w:tcPr>
          <w:p>
            <w:pPr>
              <w:widowControl w:val="0"/>
              <w:jc w:val="center"/>
            </w:pPr>
            <w:r>
              <w:rPr>
                <w:rFonts w:hint="eastAsia"/>
              </w:rPr>
              <w:t>7</w:t>
            </w:r>
          </w:p>
        </w:tc>
        <w:tc>
          <w:tcPr>
            <w:tcW w:w="4489" w:type="dxa"/>
            <w:shd w:val="clear" w:color="auto" w:fill="C5E0B3" w:themeFill="accent6" w:themeFillTint="66"/>
            <w:vAlign w:val="center"/>
          </w:tcPr>
          <w:p>
            <w:pPr>
              <w:widowControl w:val="0"/>
              <w:jc w:val="center"/>
            </w:pPr>
            <w:r>
              <w:rPr>
                <w:rFonts w:hint="eastAsia"/>
              </w:rPr>
              <w:t>河南省中等职业教育数字媒体技术应用专业董永山工作室</w:t>
            </w:r>
          </w:p>
        </w:tc>
        <w:tc>
          <w:tcPr>
            <w:tcW w:w="2677" w:type="dxa"/>
            <w:shd w:val="clear" w:color="auto" w:fill="C5E0B3" w:themeFill="accent6" w:themeFillTint="66"/>
            <w:vAlign w:val="center"/>
          </w:tcPr>
          <w:p>
            <w:pPr>
              <w:widowControl w:val="0"/>
              <w:jc w:val="center"/>
            </w:pPr>
            <w:r>
              <w:rPr>
                <w:rFonts w:hint="eastAsia"/>
              </w:rPr>
              <w:t>郑州市金融学校</w:t>
            </w:r>
          </w:p>
        </w:tc>
        <w:tc>
          <w:tcPr>
            <w:tcW w:w="1384" w:type="dxa"/>
            <w:shd w:val="clear" w:color="auto" w:fill="C5E0B3" w:themeFill="accent6" w:themeFillTint="66"/>
            <w:vAlign w:val="center"/>
          </w:tcPr>
          <w:p>
            <w:pPr>
              <w:widowControl w:val="0"/>
              <w:jc w:val="center"/>
            </w:pPr>
            <w:r>
              <w:rPr>
                <w:rFonts w:hint="eastAsia"/>
              </w:rPr>
              <w:t>信息技术类</w:t>
            </w:r>
          </w:p>
        </w:tc>
        <w:tc>
          <w:tcPr>
            <w:tcW w:w="1039" w:type="dxa"/>
            <w:vMerge w:val="continue"/>
            <w:shd w:val="clear" w:color="auto" w:fill="C5E0B3" w:themeFill="accent6" w:themeFillTint="66"/>
            <w:vAlign w:val="center"/>
          </w:tcPr>
          <w:p>
            <w:pPr>
              <w:widowControl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shd w:val="clear" w:color="auto" w:fill="D9E2F3" w:themeFill="accent5" w:themeFillTint="33"/>
            <w:vAlign w:val="center"/>
          </w:tcPr>
          <w:p>
            <w:pPr>
              <w:widowControl w:val="0"/>
              <w:jc w:val="center"/>
            </w:pPr>
            <w:r>
              <w:rPr>
                <w:rFonts w:hint="eastAsia"/>
              </w:rPr>
              <w:t>8</w:t>
            </w:r>
          </w:p>
        </w:tc>
        <w:tc>
          <w:tcPr>
            <w:tcW w:w="4489" w:type="dxa"/>
            <w:shd w:val="clear" w:color="auto" w:fill="C5E0B3" w:themeFill="accent6" w:themeFillTint="66"/>
            <w:vAlign w:val="center"/>
          </w:tcPr>
          <w:p>
            <w:pPr>
              <w:widowControl w:val="0"/>
              <w:jc w:val="center"/>
            </w:pPr>
            <w:r>
              <w:rPr>
                <w:rFonts w:hint="eastAsia"/>
              </w:rPr>
              <w:t>河南省中等职业教育学前教育专业</w:t>
            </w:r>
          </w:p>
          <w:p>
            <w:pPr>
              <w:widowControl w:val="0"/>
              <w:jc w:val="center"/>
            </w:pPr>
            <w:r>
              <w:rPr>
                <w:rFonts w:hint="eastAsia"/>
              </w:rPr>
              <w:t>冯春霞工作室</w:t>
            </w:r>
          </w:p>
        </w:tc>
        <w:tc>
          <w:tcPr>
            <w:tcW w:w="2677" w:type="dxa"/>
            <w:shd w:val="clear" w:color="auto" w:fill="C5E0B3" w:themeFill="accent6" w:themeFillTint="66"/>
            <w:vAlign w:val="center"/>
          </w:tcPr>
          <w:p>
            <w:pPr>
              <w:widowControl w:val="0"/>
              <w:jc w:val="center"/>
            </w:pPr>
            <w:r>
              <w:rPr>
                <w:rFonts w:hint="eastAsia"/>
              </w:rPr>
              <w:t>郑州艺术幼儿师范学校</w:t>
            </w:r>
          </w:p>
        </w:tc>
        <w:tc>
          <w:tcPr>
            <w:tcW w:w="1384" w:type="dxa"/>
            <w:shd w:val="clear" w:color="auto" w:fill="C5E0B3" w:themeFill="accent6" w:themeFillTint="66"/>
            <w:vAlign w:val="center"/>
          </w:tcPr>
          <w:p>
            <w:pPr>
              <w:widowControl w:val="0"/>
              <w:jc w:val="center"/>
            </w:pPr>
            <w:r>
              <w:rPr>
                <w:rFonts w:hint="eastAsia"/>
              </w:rPr>
              <w:t>文化艺术类</w:t>
            </w:r>
          </w:p>
        </w:tc>
        <w:tc>
          <w:tcPr>
            <w:tcW w:w="1039" w:type="dxa"/>
            <w:vMerge w:val="restart"/>
            <w:shd w:val="clear" w:color="auto" w:fill="C5E0B3" w:themeFill="accent6" w:themeFillTint="66"/>
            <w:vAlign w:val="center"/>
          </w:tcPr>
          <w:p>
            <w:pPr>
              <w:widowControl w:val="0"/>
              <w:jc w:val="center"/>
            </w:pPr>
            <w:r>
              <w:rPr>
                <w:rFonts w:hint="eastAsia"/>
              </w:rPr>
              <w:t>2018年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shd w:val="clear" w:color="auto" w:fill="D9E2F3" w:themeFill="accent5" w:themeFillTint="33"/>
            <w:vAlign w:val="center"/>
          </w:tcPr>
          <w:p>
            <w:pPr>
              <w:widowControl w:val="0"/>
              <w:jc w:val="center"/>
            </w:pPr>
            <w:r>
              <w:rPr>
                <w:rFonts w:hint="eastAsia"/>
              </w:rPr>
              <w:t>9</w:t>
            </w:r>
          </w:p>
        </w:tc>
        <w:tc>
          <w:tcPr>
            <w:tcW w:w="4489" w:type="dxa"/>
            <w:shd w:val="clear" w:color="auto" w:fill="C5E0B3" w:themeFill="accent6" w:themeFillTint="66"/>
            <w:vAlign w:val="center"/>
          </w:tcPr>
          <w:p>
            <w:pPr>
              <w:widowControl w:val="0"/>
              <w:jc w:val="center"/>
            </w:pPr>
            <w:r>
              <w:rPr>
                <w:rFonts w:hint="eastAsia"/>
              </w:rPr>
              <w:t>河南省中等职业教育计算机网络技术专业</w:t>
            </w:r>
          </w:p>
          <w:p>
            <w:pPr>
              <w:widowControl w:val="0"/>
              <w:jc w:val="center"/>
            </w:pPr>
            <w:r>
              <w:rPr>
                <w:rFonts w:hint="eastAsia"/>
              </w:rPr>
              <w:t>刘奇超工作室</w:t>
            </w:r>
          </w:p>
        </w:tc>
        <w:tc>
          <w:tcPr>
            <w:tcW w:w="2677" w:type="dxa"/>
            <w:shd w:val="clear" w:color="auto" w:fill="C5E0B3" w:themeFill="accent6" w:themeFillTint="66"/>
            <w:vAlign w:val="center"/>
          </w:tcPr>
          <w:p>
            <w:pPr>
              <w:widowControl w:val="0"/>
              <w:jc w:val="center"/>
            </w:pPr>
            <w:r>
              <w:rPr>
                <w:rFonts w:hint="eastAsia"/>
              </w:rPr>
              <w:t>郑州市电子信息工程学校</w:t>
            </w:r>
          </w:p>
        </w:tc>
        <w:tc>
          <w:tcPr>
            <w:tcW w:w="1384" w:type="dxa"/>
            <w:shd w:val="clear" w:color="auto" w:fill="C5E0B3" w:themeFill="accent6" w:themeFillTint="66"/>
            <w:vAlign w:val="center"/>
          </w:tcPr>
          <w:p>
            <w:pPr>
              <w:widowControl w:val="0"/>
              <w:jc w:val="center"/>
            </w:pPr>
            <w:r>
              <w:rPr>
                <w:rFonts w:hint="eastAsia"/>
              </w:rPr>
              <w:t>信息技术类</w:t>
            </w:r>
          </w:p>
        </w:tc>
        <w:tc>
          <w:tcPr>
            <w:tcW w:w="1039" w:type="dxa"/>
            <w:vMerge w:val="continue"/>
            <w:shd w:val="clear" w:color="auto" w:fill="C5E0B3" w:themeFill="accent6" w:themeFillTint="66"/>
          </w:tcPr>
          <w:p>
            <w:pPr>
              <w:widowControl/>
              <w:spacing w:line="420" w:lineRule="exact"/>
              <w:jc w:val="center"/>
              <w:rPr>
                <w:rFonts w:ascii="仿宋_GB2312" w:hAnsi="仿宋_GB2312" w:eastAsia="仿宋_GB2312" w:cs="仿宋_GB2312"/>
                <w:sz w:val="22"/>
                <w:szCs w:val="22"/>
              </w:rPr>
            </w:pPr>
          </w:p>
        </w:tc>
      </w:tr>
    </w:tbl>
    <w:p>
      <w:pPr>
        <w:pStyle w:val="12"/>
        <w:shd w:val="clear" w:color="auto" w:fill="FFFFFF"/>
        <w:spacing w:before="0" w:beforeAutospacing="0" w:after="0" w:afterAutospacing="0"/>
        <w:jc w:val="center"/>
        <w:rPr>
          <w:rFonts w:asciiTheme="minorEastAsia" w:hAnsiTheme="minorEastAsia" w:eastAsiaTheme="minorEastAsia" w:cstheme="minorEastAsia"/>
          <w:b/>
          <w:bCs/>
          <w:sz w:val="28"/>
          <w:szCs w:val="28"/>
        </w:rPr>
      </w:pPr>
    </w:p>
    <w:p>
      <w:pPr>
        <w:pStyle w:val="12"/>
        <w:shd w:val="clear" w:color="auto" w:fill="FFFFFF"/>
        <w:spacing w:before="0" w:beforeAutospacing="0" w:after="0" w:afterAutospacing="0"/>
        <w:jc w:val="center"/>
        <w:rPr>
          <w:rFonts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rPr>
        <w:t>表3-6：</w:t>
      </w:r>
      <w:r>
        <w:rPr>
          <w:rFonts w:hint="eastAsia" w:asciiTheme="minorEastAsia" w:hAnsiTheme="minorEastAsia" w:eastAsiaTheme="minorEastAsia" w:cstheme="minorEastAsia"/>
          <w:b/>
          <w:bCs/>
          <w:sz w:val="28"/>
          <w:szCs w:val="28"/>
          <w:shd w:val="clear" w:color="auto" w:fill="FFFFFF"/>
        </w:rPr>
        <w:t>郑州市中等职业学校品牌立项专业参与评估名单（23个）</w:t>
      </w:r>
    </w:p>
    <w:tbl>
      <w:tblPr>
        <w:tblStyle w:val="14"/>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3"/>
        <w:gridCol w:w="3260"/>
        <w:gridCol w:w="4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993" w:type="dxa"/>
            <w:shd w:val="clear" w:color="auto" w:fill="B4C6E7" w:themeFill="accent5" w:themeFillTint="66"/>
            <w:vAlign w:val="center"/>
          </w:tcPr>
          <w:p>
            <w:pPr>
              <w:widowControl w:val="0"/>
              <w:jc w:val="center"/>
              <w:rPr>
                <w:rFonts w:ascii="楷体" w:hAnsi="楷体" w:eastAsia="楷体" w:cs="楷体"/>
                <w:b/>
                <w:bCs/>
                <w:sz w:val="32"/>
                <w:szCs w:val="32"/>
              </w:rPr>
            </w:pPr>
            <w:r>
              <w:rPr>
                <w:rFonts w:hint="eastAsia" w:ascii="黑体" w:hAnsi="黑体" w:eastAsia="黑体" w:cs="黑体"/>
                <w:kern w:val="0"/>
                <w:sz w:val="22"/>
                <w:szCs w:val="22"/>
                <w:lang w:bidi="ar"/>
              </w:rPr>
              <w:t>序号</w:t>
            </w:r>
          </w:p>
        </w:tc>
        <w:tc>
          <w:tcPr>
            <w:tcW w:w="3260" w:type="dxa"/>
            <w:shd w:val="clear" w:color="auto" w:fill="B4C6E7" w:themeFill="accent5" w:themeFillTint="66"/>
            <w:vAlign w:val="center"/>
          </w:tcPr>
          <w:p>
            <w:pPr>
              <w:widowControl w:val="0"/>
              <w:jc w:val="center"/>
              <w:rPr>
                <w:rFonts w:ascii="黑体" w:hAnsi="黑体" w:eastAsia="黑体" w:cs="楷体"/>
                <w:bCs/>
                <w:sz w:val="22"/>
                <w:szCs w:val="22"/>
              </w:rPr>
            </w:pPr>
            <w:r>
              <w:rPr>
                <w:rFonts w:hint="eastAsia" w:ascii="黑体" w:hAnsi="黑体" w:eastAsia="黑体" w:cs="楷体"/>
                <w:bCs/>
                <w:sz w:val="22"/>
                <w:szCs w:val="22"/>
              </w:rPr>
              <w:t>专业名称</w:t>
            </w:r>
          </w:p>
        </w:tc>
        <w:tc>
          <w:tcPr>
            <w:tcW w:w="4111" w:type="dxa"/>
            <w:shd w:val="clear" w:color="auto" w:fill="B4C6E7" w:themeFill="accent5" w:themeFillTint="66"/>
            <w:vAlign w:val="center"/>
          </w:tcPr>
          <w:p>
            <w:pPr>
              <w:widowControl w:val="0"/>
              <w:jc w:val="center"/>
              <w:rPr>
                <w:rFonts w:ascii="楷体" w:hAnsi="楷体" w:eastAsia="楷体" w:cs="楷体"/>
                <w:b/>
                <w:bCs/>
                <w:sz w:val="32"/>
                <w:szCs w:val="32"/>
              </w:rPr>
            </w:pPr>
            <w:r>
              <w:rPr>
                <w:rFonts w:hint="eastAsia" w:ascii="黑体" w:hAnsi="黑体" w:eastAsia="黑体" w:cs="楷体"/>
                <w:bCs/>
                <w:sz w:val="22"/>
                <w:szCs w:val="22"/>
              </w:rPr>
              <w:t>项目学校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993" w:type="dxa"/>
            <w:shd w:val="clear" w:color="auto" w:fill="D9E2F3" w:themeFill="accent5" w:themeFillTint="33"/>
            <w:vAlign w:val="center"/>
          </w:tcPr>
          <w:p>
            <w:pPr>
              <w:widowControl w:val="0"/>
              <w:jc w:val="center"/>
            </w:pPr>
            <w:r>
              <w:rPr>
                <w:rFonts w:hint="eastAsia"/>
              </w:rPr>
              <w:t>1</w:t>
            </w:r>
          </w:p>
        </w:tc>
        <w:tc>
          <w:tcPr>
            <w:tcW w:w="3260" w:type="dxa"/>
            <w:shd w:val="clear" w:color="auto" w:fill="C5E0B3" w:themeFill="accent6" w:themeFillTint="66"/>
            <w:vAlign w:val="center"/>
          </w:tcPr>
          <w:p>
            <w:pPr>
              <w:widowControl w:val="0"/>
              <w:jc w:val="center"/>
            </w:pPr>
            <w:r>
              <w:rPr>
                <w:rFonts w:hint="eastAsia"/>
              </w:rPr>
              <w:t>计算机动漫与游戏制作</w:t>
            </w:r>
          </w:p>
        </w:tc>
        <w:tc>
          <w:tcPr>
            <w:tcW w:w="4111" w:type="dxa"/>
            <w:vMerge w:val="restart"/>
            <w:shd w:val="clear" w:color="auto" w:fill="C5E0B3" w:themeFill="accent6" w:themeFillTint="66"/>
            <w:vAlign w:val="center"/>
          </w:tcPr>
          <w:p>
            <w:pPr>
              <w:widowControl w:val="0"/>
              <w:jc w:val="center"/>
            </w:pPr>
            <w:r>
              <w:rPr>
                <w:rFonts w:hint="eastAsia"/>
              </w:rPr>
              <w:t>郑州市经济贸易学校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993" w:type="dxa"/>
            <w:shd w:val="clear" w:color="auto" w:fill="D9E2F3" w:themeFill="accent5" w:themeFillTint="33"/>
            <w:vAlign w:val="center"/>
          </w:tcPr>
          <w:p>
            <w:pPr>
              <w:widowControl w:val="0"/>
              <w:jc w:val="center"/>
            </w:pPr>
            <w:r>
              <w:rPr>
                <w:rFonts w:hint="eastAsia"/>
              </w:rPr>
              <w:t>2</w:t>
            </w:r>
          </w:p>
        </w:tc>
        <w:tc>
          <w:tcPr>
            <w:tcW w:w="3260" w:type="dxa"/>
            <w:shd w:val="clear" w:color="auto" w:fill="C5E0B3" w:themeFill="accent6" w:themeFillTint="66"/>
            <w:vAlign w:val="center"/>
          </w:tcPr>
          <w:p>
            <w:pPr>
              <w:widowControl w:val="0"/>
              <w:jc w:val="center"/>
            </w:pPr>
            <w:r>
              <w:rPr>
                <w:rFonts w:hint="eastAsia"/>
              </w:rPr>
              <w:t>物流服务与管理</w:t>
            </w:r>
          </w:p>
        </w:tc>
        <w:tc>
          <w:tcPr>
            <w:tcW w:w="4111" w:type="dxa"/>
            <w:vMerge w:val="continue"/>
            <w:shd w:val="clear" w:color="auto" w:fill="C5E0B3" w:themeFill="accent6" w:themeFillTint="66"/>
            <w:vAlign w:val="center"/>
          </w:tcPr>
          <w:p>
            <w:pPr>
              <w:widowControl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93" w:type="dxa"/>
            <w:shd w:val="clear" w:color="auto" w:fill="D9E2F3" w:themeFill="accent5" w:themeFillTint="33"/>
            <w:vAlign w:val="center"/>
          </w:tcPr>
          <w:p>
            <w:pPr>
              <w:widowControl w:val="0"/>
              <w:jc w:val="center"/>
            </w:pPr>
            <w:r>
              <w:rPr>
                <w:rFonts w:hint="eastAsia"/>
              </w:rPr>
              <w:t>3</w:t>
            </w:r>
          </w:p>
        </w:tc>
        <w:tc>
          <w:tcPr>
            <w:tcW w:w="3260" w:type="dxa"/>
            <w:shd w:val="clear" w:color="auto" w:fill="C5E0B3" w:themeFill="accent6" w:themeFillTint="66"/>
            <w:vAlign w:val="center"/>
          </w:tcPr>
          <w:p>
            <w:pPr>
              <w:widowControl w:val="0"/>
              <w:jc w:val="center"/>
            </w:pPr>
            <w:r>
              <w:rPr>
                <w:rFonts w:hint="eastAsia"/>
              </w:rPr>
              <w:t>会计电算化</w:t>
            </w:r>
          </w:p>
        </w:tc>
        <w:tc>
          <w:tcPr>
            <w:tcW w:w="4111" w:type="dxa"/>
            <w:vMerge w:val="restart"/>
            <w:shd w:val="clear" w:color="auto" w:fill="C5E0B3" w:themeFill="accent6" w:themeFillTint="66"/>
            <w:vAlign w:val="center"/>
          </w:tcPr>
          <w:p>
            <w:pPr>
              <w:widowControl w:val="0"/>
              <w:jc w:val="center"/>
            </w:pPr>
            <w:r>
              <w:rPr>
                <w:rFonts w:hint="eastAsia"/>
              </w:rPr>
              <w:t>郑州市财贸学校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993" w:type="dxa"/>
            <w:shd w:val="clear" w:color="auto" w:fill="D9E2F3" w:themeFill="accent5" w:themeFillTint="33"/>
            <w:vAlign w:val="center"/>
          </w:tcPr>
          <w:p>
            <w:pPr>
              <w:widowControl w:val="0"/>
              <w:jc w:val="center"/>
            </w:pPr>
            <w:r>
              <w:rPr>
                <w:rFonts w:hint="eastAsia"/>
              </w:rPr>
              <w:t>4</w:t>
            </w:r>
          </w:p>
        </w:tc>
        <w:tc>
          <w:tcPr>
            <w:tcW w:w="3260" w:type="dxa"/>
            <w:shd w:val="clear" w:color="auto" w:fill="C5E0B3" w:themeFill="accent6" w:themeFillTint="66"/>
            <w:vAlign w:val="center"/>
          </w:tcPr>
          <w:p>
            <w:pPr>
              <w:widowControl w:val="0"/>
              <w:jc w:val="center"/>
            </w:pPr>
            <w:r>
              <w:rPr>
                <w:rFonts w:hint="eastAsia"/>
              </w:rPr>
              <w:t>高星级饭店运营与管理</w:t>
            </w:r>
          </w:p>
        </w:tc>
        <w:tc>
          <w:tcPr>
            <w:tcW w:w="4111" w:type="dxa"/>
            <w:vMerge w:val="continue"/>
            <w:shd w:val="clear" w:color="auto" w:fill="C5E0B3" w:themeFill="accent6" w:themeFillTint="66"/>
            <w:vAlign w:val="center"/>
          </w:tcPr>
          <w:p>
            <w:pPr>
              <w:widowControl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993" w:type="dxa"/>
            <w:shd w:val="clear" w:color="auto" w:fill="D9E2F3" w:themeFill="accent5" w:themeFillTint="33"/>
            <w:vAlign w:val="center"/>
          </w:tcPr>
          <w:p>
            <w:pPr>
              <w:widowControl w:val="0"/>
              <w:jc w:val="center"/>
            </w:pPr>
            <w:r>
              <w:rPr>
                <w:rFonts w:hint="eastAsia"/>
              </w:rPr>
              <w:t>5</w:t>
            </w:r>
          </w:p>
        </w:tc>
        <w:tc>
          <w:tcPr>
            <w:tcW w:w="3260" w:type="dxa"/>
            <w:shd w:val="clear" w:color="auto" w:fill="C5E0B3" w:themeFill="accent6" w:themeFillTint="66"/>
            <w:vAlign w:val="center"/>
          </w:tcPr>
          <w:p>
            <w:pPr>
              <w:widowControl w:val="0"/>
              <w:jc w:val="center"/>
            </w:pPr>
            <w:r>
              <w:rPr>
                <w:rFonts w:hint="eastAsia"/>
              </w:rPr>
              <w:t>建筑工程施工</w:t>
            </w:r>
          </w:p>
        </w:tc>
        <w:tc>
          <w:tcPr>
            <w:tcW w:w="4111" w:type="dxa"/>
            <w:shd w:val="clear" w:color="auto" w:fill="C5E0B3" w:themeFill="accent6" w:themeFillTint="66"/>
            <w:vAlign w:val="center"/>
          </w:tcPr>
          <w:p>
            <w:pPr>
              <w:widowControl w:val="0"/>
              <w:jc w:val="center"/>
            </w:pPr>
            <w:r>
              <w:rPr>
                <w:rFonts w:hint="eastAsia"/>
              </w:rPr>
              <w:t>中牟县职业中等专业学校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993" w:type="dxa"/>
            <w:shd w:val="clear" w:color="auto" w:fill="D9E2F3" w:themeFill="accent5" w:themeFillTint="33"/>
            <w:vAlign w:val="center"/>
          </w:tcPr>
          <w:p>
            <w:pPr>
              <w:widowControl w:val="0"/>
              <w:jc w:val="center"/>
            </w:pPr>
            <w:r>
              <w:rPr>
                <w:rFonts w:hint="eastAsia"/>
              </w:rPr>
              <w:t>6</w:t>
            </w:r>
          </w:p>
        </w:tc>
        <w:tc>
          <w:tcPr>
            <w:tcW w:w="3260" w:type="dxa"/>
            <w:shd w:val="clear" w:color="auto" w:fill="C5E0B3" w:themeFill="accent6" w:themeFillTint="66"/>
            <w:vAlign w:val="center"/>
          </w:tcPr>
          <w:p>
            <w:pPr>
              <w:widowControl w:val="0"/>
              <w:jc w:val="center"/>
            </w:pPr>
            <w:r>
              <w:rPr>
                <w:rFonts w:hint="eastAsia"/>
              </w:rPr>
              <w:t>汽车运用与维修</w:t>
            </w:r>
          </w:p>
        </w:tc>
        <w:tc>
          <w:tcPr>
            <w:tcW w:w="4111" w:type="dxa"/>
            <w:vMerge w:val="restart"/>
            <w:shd w:val="clear" w:color="auto" w:fill="C5E0B3" w:themeFill="accent6" w:themeFillTint="66"/>
            <w:vAlign w:val="center"/>
          </w:tcPr>
          <w:p>
            <w:pPr>
              <w:widowControl w:val="0"/>
              <w:jc w:val="center"/>
            </w:pPr>
            <w:r>
              <w:rPr>
                <w:rFonts w:hint="eastAsia"/>
              </w:rPr>
              <w:t>郑州市国防科技学校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993" w:type="dxa"/>
            <w:shd w:val="clear" w:color="auto" w:fill="D9E2F3" w:themeFill="accent5" w:themeFillTint="33"/>
            <w:vAlign w:val="center"/>
          </w:tcPr>
          <w:p>
            <w:pPr>
              <w:widowControl w:val="0"/>
              <w:jc w:val="center"/>
            </w:pPr>
            <w:r>
              <w:rPr>
                <w:rFonts w:hint="eastAsia"/>
              </w:rPr>
              <w:t>7</w:t>
            </w:r>
          </w:p>
        </w:tc>
        <w:tc>
          <w:tcPr>
            <w:tcW w:w="3260" w:type="dxa"/>
            <w:shd w:val="clear" w:color="auto" w:fill="C5E0B3" w:themeFill="accent6" w:themeFillTint="66"/>
            <w:vAlign w:val="center"/>
          </w:tcPr>
          <w:p>
            <w:pPr>
              <w:widowControl w:val="0"/>
              <w:jc w:val="center"/>
            </w:pPr>
            <w:r>
              <w:rPr>
                <w:rFonts w:hint="eastAsia"/>
              </w:rPr>
              <w:t>机电技术应用</w:t>
            </w:r>
          </w:p>
        </w:tc>
        <w:tc>
          <w:tcPr>
            <w:tcW w:w="4111" w:type="dxa"/>
            <w:vMerge w:val="continue"/>
            <w:shd w:val="clear" w:color="auto" w:fill="C5E0B3" w:themeFill="accent6" w:themeFillTint="66"/>
            <w:vAlign w:val="center"/>
          </w:tcPr>
          <w:p>
            <w:pPr>
              <w:widowControl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993" w:type="dxa"/>
            <w:shd w:val="clear" w:color="auto" w:fill="D9E2F3" w:themeFill="accent5" w:themeFillTint="33"/>
            <w:vAlign w:val="center"/>
          </w:tcPr>
          <w:p>
            <w:pPr>
              <w:widowControl w:val="0"/>
              <w:jc w:val="center"/>
            </w:pPr>
            <w:r>
              <w:rPr>
                <w:rFonts w:hint="eastAsia"/>
              </w:rPr>
              <w:t>8</w:t>
            </w:r>
          </w:p>
        </w:tc>
        <w:tc>
          <w:tcPr>
            <w:tcW w:w="3260" w:type="dxa"/>
            <w:shd w:val="clear" w:color="auto" w:fill="C5E0B3" w:themeFill="accent6" w:themeFillTint="66"/>
            <w:vAlign w:val="center"/>
          </w:tcPr>
          <w:p>
            <w:pPr>
              <w:widowControl w:val="0"/>
              <w:jc w:val="center"/>
            </w:pPr>
            <w:r>
              <w:rPr>
                <w:rFonts w:hint="eastAsia"/>
              </w:rPr>
              <w:t>机电技术应用</w:t>
            </w:r>
          </w:p>
        </w:tc>
        <w:tc>
          <w:tcPr>
            <w:tcW w:w="4111" w:type="dxa"/>
            <w:vMerge w:val="restart"/>
            <w:shd w:val="clear" w:color="auto" w:fill="C5E0B3" w:themeFill="accent6" w:themeFillTint="66"/>
            <w:vAlign w:val="center"/>
          </w:tcPr>
          <w:p>
            <w:pPr>
              <w:widowControl w:val="0"/>
              <w:jc w:val="center"/>
            </w:pPr>
            <w:r>
              <w:rPr>
                <w:rFonts w:hint="eastAsia"/>
              </w:rPr>
              <w:t>郑州市电子信息工程学校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993" w:type="dxa"/>
            <w:shd w:val="clear" w:color="auto" w:fill="D9E2F3" w:themeFill="accent5" w:themeFillTint="33"/>
            <w:vAlign w:val="center"/>
          </w:tcPr>
          <w:p>
            <w:pPr>
              <w:widowControl w:val="0"/>
              <w:jc w:val="center"/>
            </w:pPr>
            <w:r>
              <w:rPr>
                <w:rFonts w:hint="eastAsia"/>
              </w:rPr>
              <w:t>9</w:t>
            </w:r>
          </w:p>
        </w:tc>
        <w:tc>
          <w:tcPr>
            <w:tcW w:w="3260" w:type="dxa"/>
            <w:shd w:val="clear" w:color="auto" w:fill="C5E0B3" w:themeFill="accent6" w:themeFillTint="66"/>
            <w:vAlign w:val="center"/>
          </w:tcPr>
          <w:p>
            <w:pPr>
              <w:widowControl w:val="0"/>
              <w:jc w:val="center"/>
            </w:pPr>
            <w:r>
              <w:rPr>
                <w:rFonts w:hint="eastAsia"/>
              </w:rPr>
              <w:t>计算机网络技术</w:t>
            </w:r>
          </w:p>
        </w:tc>
        <w:tc>
          <w:tcPr>
            <w:tcW w:w="4111" w:type="dxa"/>
            <w:vMerge w:val="continue"/>
            <w:shd w:val="clear" w:color="auto" w:fill="C5E0B3" w:themeFill="accent6" w:themeFillTint="66"/>
            <w:vAlign w:val="center"/>
          </w:tcPr>
          <w:p>
            <w:pPr>
              <w:widowControl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993" w:type="dxa"/>
            <w:shd w:val="clear" w:color="auto" w:fill="D9E2F3" w:themeFill="accent5" w:themeFillTint="33"/>
            <w:vAlign w:val="center"/>
          </w:tcPr>
          <w:p>
            <w:pPr>
              <w:widowControl w:val="0"/>
              <w:jc w:val="center"/>
            </w:pPr>
            <w:r>
              <w:rPr>
                <w:rFonts w:hint="eastAsia"/>
              </w:rPr>
              <w:t>10</w:t>
            </w:r>
          </w:p>
        </w:tc>
        <w:tc>
          <w:tcPr>
            <w:tcW w:w="3260" w:type="dxa"/>
            <w:shd w:val="clear" w:color="auto" w:fill="C5E0B3" w:themeFill="accent6" w:themeFillTint="66"/>
            <w:vAlign w:val="center"/>
          </w:tcPr>
          <w:p>
            <w:pPr>
              <w:widowControl w:val="0"/>
              <w:jc w:val="center"/>
            </w:pPr>
            <w:r>
              <w:rPr>
                <w:rFonts w:hint="eastAsia"/>
              </w:rPr>
              <w:t>数字媒体技术应用</w:t>
            </w:r>
          </w:p>
        </w:tc>
        <w:tc>
          <w:tcPr>
            <w:tcW w:w="4111" w:type="dxa"/>
            <w:shd w:val="clear" w:color="auto" w:fill="C5E0B3" w:themeFill="accent6" w:themeFillTint="66"/>
            <w:vAlign w:val="center"/>
          </w:tcPr>
          <w:p>
            <w:pPr>
              <w:widowControl w:val="0"/>
              <w:jc w:val="center"/>
            </w:pPr>
            <w:r>
              <w:rPr>
                <w:rFonts w:hint="eastAsia"/>
              </w:rPr>
              <w:t>郑州市金融学校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993" w:type="dxa"/>
            <w:shd w:val="clear" w:color="auto" w:fill="D9E2F3" w:themeFill="accent5" w:themeFillTint="33"/>
            <w:vAlign w:val="center"/>
          </w:tcPr>
          <w:p>
            <w:pPr>
              <w:widowControl w:val="0"/>
              <w:jc w:val="center"/>
            </w:pPr>
            <w:r>
              <w:rPr>
                <w:rFonts w:hint="eastAsia"/>
              </w:rPr>
              <w:t>11</w:t>
            </w:r>
          </w:p>
        </w:tc>
        <w:tc>
          <w:tcPr>
            <w:tcW w:w="3260" w:type="dxa"/>
            <w:shd w:val="clear" w:color="auto" w:fill="C5E0B3" w:themeFill="accent6" w:themeFillTint="66"/>
            <w:vAlign w:val="center"/>
          </w:tcPr>
          <w:p>
            <w:pPr>
              <w:widowControl w:val="0"/>
              <w:jc w:val="center"/>
            </w:pPr>
            <w:r>
              <w:rPr>
                <w:rFonts w:hint="eastAsia"/>
              </w:rPr>
              <w:t>计算机平面设计</w:t>
            </w:r>
          </w:p>
        </w:tc>
        <w:tc>
          <w:tcPr>
            <w:tcW w:w="4111" w:type="dxa"/>
            <w:vMerge w:val="restart"/>
            <w:shd w:val="clear" w:color="auto" w:fill="C5E0B3" w:themeFill="accent6" w:themeFillTint="66"/>
            <w:vAlign w:val="center"/>
          </w:tcPr>
          <w:p>
            <w:pPr>
              <w:widowControl w:val="0"/>
              <w:jc w:val="center"/>
            </w:pPr>
            <w:r>
              <w:rPr>
                <w:rFonts w:hint="eastAsia"/>
              </w:rPr>
              <w:t>郑州市信息技术学校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93" w:type="dxa"/>
            <w:shd w:val="clear" w:color="auto" w:fill="D9E2F3" w:themeFill="accent5" w:themeFillTint="33"/>
            <w:vAlign w:val="center"/>
          </w:tcPr>
          <w:p>
            <w:pPr>
              <w:widowControl w:val="0"/>
              <w:jc w:val="center"/>
            </w:pPr>
            <w:r>
              <w:rPr>
                <w:rFonts w:hint="eastAsia"/>
              </w:rPr>
              <w:t>12</w:t>
            </w:r>
          </w:p>
        </w:tc>
        <w:tc>
          <w:tcPr>
            <w:tcW w:w="3260" w:type="dxa"/>
            <w:shd w:val="clear" w:color="auto" w:fill="C5E0B3" w:themeFill="accent6" w:themeFillTint="66"/>
            <w:vAlign w:val="center"/>
          </w:tcPr>
          <w:p>
            <w:pPr>
              <w:widowControl w:val="0"/>
              <w:jc w:val="center"/>
            </w:pPr>
            <w:r>
              <w:rPr>
                <w:rFonts w:hint="eastAsia"/>
              </w:rPr>
              <w:t>计算机应用</w:t>
            </w:r>
          </w:p>
        </w:tc>
        <w:tc>
          <w:tcPr>
            <w:tcW w:w="4111" w:type="dxa"/>
            <w:vMerge w:val="continue"/>
            <w:shd w:val="clear" w:color="auto" w:fill="C5E0B3" w:themeFill="accent6" w:themeFillTint="66"/>
            <w:vAlign w:val="center"/>
          </w:tcPr>
          <w:p>
            <w:pPr>
              <w:widowControl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993" w:type="dxa"/>
            <w:shd w:val="clear" w:color="auto" w:fill="D9E2F3" w:themeFill="accent5" w:themeFillTint="33"/>
            <w:vAlign w:val="center"/>
          </w:tcPr>
          <w:p>
            <w:pPr>
              <w:widowControl w:val="0"/>
              <w:jc w:val="center"/>
            </w:pPr>
            <w:r>
              <w:rPr>
                <w:rFonts w:hint="eastAsia"/>
              </w:rPr>
              <w:t>13</w:t>
            </w:r>
          </w:p>
        </w:tc>
        <w:tc>
          <w:tcPr>
            <w:tcW w:w="3260" w:type="dxa"/>
            <w:shd w:val="clear" w:color="auto" w:fill="C5E0B3" w:themeFill="accent6" w:themeFillTint="66"/>
            <w:vAlign w:val="center"/>
          </w:tcPr>
          <w:p>
            <w:pPr>
              <w:widowControl w:val="0"/>
              <w:jc w:val="center"/>
            </w:pPr>
            <w:r>
              <w:rPr>
                <w:rFonts w:hint="eastAsia"/>
              </w:rPr>
              <w:t>服装设计与工艺</w:t>
            </w:r>
          </w:p>
        </w:tc>
        <w:tc>
          <w:tcPr>
            <w:tcW w:w="4111" w:type="dxa"/>
            <w:vMerge w:val="restart"/>
            <w:shd w:val="clear" w:color="auto" w:fill="C5E0B3" w:themeFill="accent6" w:themeFillTint="66"/>
            <w:vAlign w:val="center"/>
          </w:tcPr>
          <w:p>
            <w:pPr>
              <w:widowControl w:val="0"/>
              <w:jc w:val="center"/>
            </w:pPr>
            <w:r>
              <w:rPr>
                <w:rFonts w:hint="eastAsia"/>
              </w:rPr>
              <w:t>郑州市科技工业学校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993" w:type="dxa"/>
            <w:shd w:val="clear" w:color="auto" w:fill="D9E2F3" w:themeFill="accent5" w:themeFillTint="33"/>
            <w:vAlign w:val="center"/>
          </w:tcPr>
          <w:p>
            <w:pPr>
              <w:widowControl w:val="0"/>
              <w:jc w:val="center"/>
            </w:pPr>
            <w:r>
              <w:rPr>
                <w:rFonts w:hint="eastAsia"/>
              </w:rPr>
              <w:t>14</w:t>
            </w:r>
          </w:p>
        </w:tc>
        <w:tc>
          <w:tcPr>
            <w:tcW w:w="3260" w:type="dxa"/>
            <w:shd w:val="clear" w:color="auto" w:fill="C5E0B3" w:themeFill="accent6" w:themeFillTint="66"/>
            <w:vAlign w:val="center"/>
          </w:tcPr>
          <w:p>
            <w:pPr>
              <w:widowControl w:val="0"/>
              <w:jc w:val="center"/>
            </w:pPr>
            <w:r>
              <w:rPr>
                <w:rFonts w:hint="eastAsia"/>
              </w:rPr>
              <w:t>机械制造技术</w:t>
            </w:r>
          </w:p>
        </w:tc>
        <w:tc>
          <w:tcPr>
            <w:tcW w:w="4111" w:type="dxa"/>
            <w:vMerge w:val="continue"/>
            <w:shd w:val="clear" w:color="auto" w:fill="C5E0B3" w:themeFill="accent6" w:themeFillTint="66"/>
            <w:vAlign w:val="center"/>
          </w:tcPr>
          <w:p>
            <w:pPr>
              <w:widowControl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993" w:type="dxa"/>
            <w:shd w:val="clear" w:color="auto" w:fill="D9E2F3" w:themeFill="accent5" w:themeFillTint="33"/>
            <w:vAlign w:val="center"/>
          </w:tcPr>
          <w:p>
            <w:pPr>
              <w:widowControl w:val="0"/>
              <w:jc w:val="center"/>
            </w:pPr>
            <w:r>
              <w:rPr>
                <w:rFonts w:hint="eastAsia"/>
              </w:rPr>
              <w:t>15</w:t>
            </w:r>
          </w:p>
        </w:tc>
        <w:tc>
          <w:tcPr>
            <w:tcW w:w="3260" w:type="dxa"/>
            <w:shd w:val="clear" w:color="auto" w:fill="C5E0B3" w:themeFill="accent6" w:themeFillTint="66"/>
            <w:vAlign w:val="center"/>
          </w:tcPr>
          <w:p>
            <w:pPr>
              <w:widowControl w:val="0"/>
              <w:jc w:val="center"/>
            </w:pPr>
            <w:r>
              <w:rPr>
                <w:rFonts w:hint="eastAsia"/>
              </w:rPr>
              <w:t>中餐烹饪</w:t>
            </w:r>
          </w:p>
        </w:tc>
        <w:tc>
          <w:tcPr>
            <w:tcW w:w="4111" w:type="dxa"/>
            <w:shd w:val="clear" w:color="auto" w:fill="C5E0B3" w:themeFill="accent6" w:themeFillTint="66"/>
            <w:vAlign w:val="center"/>
          </w:tcPr>
          <w:p>
            <w:pPr>
              <w:widowControl w:val="0"/>
              <w:jc w:val="center"/>
            </w:pPr>
            <w:r>
              <w:rPr>
                <w:rFonts w:hint="eastAsia"/>
              </w:rPr>
              <w:t>登封市中等专业学校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993" w:type="dxa"/>
            <w:shd w:val="clear" w:color="auto" w:fill="D9E2F3" w:themeFill="accent5" w:themeFillTint="33"/>
            <w:vAlign w:val="center"/>
          </w:tcPr>
          <w:p>
            <w:pPr>
              <w:widowControl w:val="0"/>
              <w:jc w:val="center"/>
            </w:pPr>
            <w:r>
              <w:rPr>
                <w:rFonts w:hint="eastAsia"/>
              </w:rPr>
              <w:t>16</w:t>
            </w:r>
          </w:p>
        </w:tc>
        <w:tc>
          <w:tcPr>
            <w:tcW w:w="3260" w:type="dxa"/>
            <w:shd w:val="clear" w:color="auto" w:fill="C5E0B3" w:themeFill="accent6" w:themeFillTint="66"/>
            <w:vAlign w:val="center"/>
          </w:tcPr>
          <w:p>
            <w:pPr>
              <w:widowControl w:val="0"/>
              <w:jc w:val="center"/>
            </w:pPr>
            <w:r>
              <w:rPr>
                <w:rFonts w:hint="eastAsia"/>
              </w:rPr>
              <w:t>运动训练</w:t>
            </w:r>
          </w:p>
        </w:tc>
        <w:tc>
          <w:tcPr>
            <w:tcW w:w="4111" w:type="dxa"/>
            <w:shd w:val="clear" w:color="auto" w:fill="C5E0B3" w:themeFill="accent6" w:themeFillTint="66"/>
            <w:vAlign w:val="center"/>
          </w:tcPr>
          <w:p>
            <w:pPr>
              <w:widowControl w:val="0"/>
              <w:jc w:val="center"/>
            </w:pPr>
            <w:r>
              <w:rPr>
                <w:rFonts w:hint="eastAsia"/>
              </w:rPr>
              <w:t>登封少林中等专业学校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993" w:type="dxa"/>
            <w:shd w:val="clear" w:color="auto" w:fill="D9E2F3" w:themeFill="accent5" w:themeFillTint="33"/>
            <w:vAlign w:val="center"/>
          </w:tcPr>
          <w:p>
            <w:pPr>
              <w:widowControl w:val="0"/>
              <w:jc w:val="center"/>
            </w:pPr>
            <w:r>
              <w:rPr>
                <w:rFonts w:hint="eastAsia"/>
              </w:rPr>
              <w:t>17</w:t>
            </w:r>
          </w:p>
        </w:tc>
        <w:tc>
          <w:tcPr>
            <w:tcW w:w="3260" w:type="dxa"/>
            <w:shd w:val="clear" w:color="auto" w:fill="C5E0B3" w:themeFill="accent6" w:themeFillTint="66"/>
            <w:vAlign w:val="center"/>
          </w:tcPr>
          <w:p>
            <w:pPr>
              <w:widowControl w:val="0"/>
              <w:jc w:val="center"/>
            </w:pPr>
            <w:r>
              <w:rPr>
                <w:rFonts w:hint="eastAsia"/>
              </w:rPr>
              <w:t>学前教育</w:t>
            </w:r>
          </w:p>
        </w:tc>
        <w:tc>
          <w:tcPr>
            <w:tcW w:w="4111" w:type="dxa"/>
            <w:vMerge w:val="restart"/>
            <w:shd w:val="clear" w:color="auto" w:fill="C5E0B3" w:themeFill="accent6" w:themeFillTint="66"/>
            <w:vAlign w:val="center"/>
          </w:tcPr>
          <w:p>
            <w:pPr>
              <w:widowControl w:val="0"/>
              <w:jc w:val="center"/>
            </w:pPr>
            <w:r>
              <w:rPr>
                <w:rFonts w:hint="eastAsia"/>
              </w:rPr>
              <w:t>郑州艺术幼儿师范学校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993" w:type="dxa"/>
            <w:shd w:val="clear" w:color="auto" w:fill="D9E2F3" w:themeFill="accent5" w:themeFillTint="33"/>
            <w:vAlign w:val="center"/>
          </w:tcPr>
          <w:p>
            <w:pPr>
              <w:widowControl w:val="0"/>
              <w:jc w:val="center"/>
            </w:pPr>
            <w:r>
              <w:rPr>
                <w:rFonts w:hint="eastAsia"/>
              </w:rPr>
              <w:t>18</w:t>
            </w:r>
          </w:p>
        </w:tc>
        <w:tc>
          <w:tcPr>
            <w:tcW w:w="3260" w:type="dxa"/>
            <w:shd w:val="clear" w:color="auto" w:fill="C5E0B3" w:themeFill="accent6" w:themeFillTint="66"/>
            <w:vAlign w:val="center"/>
          </w:tcPr>
          <w:p>
            <w:pPr>
              <w:widowControl w:val="0"/>
              <w:jc w:val="center"/>
            </w:pPr>
            <w:r>
              <w:rPr>
                <w:rFonts w:hint="eastAsia"/>
              </w:rPr>
              <w:t>美术设计与制作</w:t>
            </w:r>
          </w:p>
        </w:tc>
        <w:tc>
          <w:tcPr>
            <w:tcW w:w="4111" w:type="dxa"/>
            <w:vMerge w:val="continue"/>
            <w:shd w:val="clear" w:color="auto" w:fill="C5E0B3" w:themeFill="accent6" w:themeFillTint="66"/>
            <w:vAlign w:val="center"/>
          </w:tcPr>
          <w:p>
            <w:pPr>
              <w:widowControl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993" w:type="dxa"/>
            <w:shd w:val="clear" w:color="auto" w:fill="D9E2F3" w:themeFill="accent5" w:themeFillTint="33"/>
            <w:vAlign w:val="center"/>
          </w:tcPr>
          <w:p>
            <w:pPr>
              <w:widowControl w:val="0"/>
              <w:jc w:val="center"/>
            </w:pPr>
            <w:r>
              <w:rPr>
                <w:rFonts w:hint="eastAsia"/>
              </w:rPr>
              <w:t>19</w:t>
            </w:r>
          </w:p>
        </w:tc>
        <w:tc>
          <w:tcPr>
            <w:tcW w:w="3260" w:type="dxa"/>
            <w:shd w:val="clear" w:color="auto" w:fill="C5E0B3" w:themeFill="accent6" w:themeFillTint="66"/>
            <w:vAlign w:val="center"/>
          </w:tcPr>
          <w:p>
            <w:pPr>
              <w:widowControl w:val="0"/>
              <w:jc w:val="center"/>
            </w:pPr>
            <w:r>
              <w:rPr>
                <w:rFonts w:hint="eastAsia"/>
              </w:rPr>
              <w:t>珠宝玉石加工与营销</w:t>
            </w:r>
          </w:p>
        </w:tc>
        <w:tc>
          <w:tcPr>
            <w:tcW w:w="4111" w:type="dxa"/>
            <w:shd w:val="clear" w:color="auto" w:fill="C5E0B3" w:themeFill="accent6" w:themeFillTint="66"/>
            <w:vAlign w:val="center"/>
          </w:tcPr>
          <w:p>
            <w:pPr>
              <w:widowControl w:val="0"/>
              <w:jc w:val="center"/>
            </w:pPr>
            <w:r>
              <w:rPr>
                <w:rFonts w:hint="eastAsia"/>
              </w:rPr>
              <w:t>新密市职教中心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93" w:type="dxa"/>
            <w:shd w:val="clear" w:color="auto" w:fill="D9E2F3" w:themeFill="accent5" w:themeFillTint="33"/>
            <w:vAlign w:val="center"/>
          </w:tcPr>
          <w:p>
            <w:pPr>
              <w:widowControl w:val="0"/>
              <w:jc w:val="center"/>
            </w:pPr>
            <w:r>
              <w:rPr>
                <w:rFonts w:hint="eastAsia"/>
              </w:rPr>
              <w:t>20</w:t>
            </w:r>
          </w:p>
        </w:tc>
        <w:tc>
          <w:tcPr>
            <w:tcW w:w="3260" w:type="dxa"/>
            <w:shd w:val="clear" w:color="auto" w:fill="C5E0B3" w:themeFill="accent6" w:themeFillTint="66"/>
            <w:vAlign w:val="center"/>
          </w:tcPr>
          <w:p>
            <w:pPr>
              <w:widowControl w:val="0"/>
              <w:jc w:val="center"/>
            </w:pPr>
            <w:r>
              <w:rPr>
                <w:rFonts w:hint="eastAsia"/>
              </w:rPr>
              <w:t>城市轨道交通运营管理</w:t>
            </w:r>
          </w:p>
        </w:tc>
        <w:tc>
          <w:tcPr>
            <w:tcW w:w="4111" w:type="dxa"/>
            <w:shd w:val="clear" w:color="auto" w:fill="C5E0B3" w:themeFill="accent6" w:themeFillTint="66"/>
            <w:vAlign w:val="center"/>
          </w:tcPr>
          <w:p>
            <w:pPr>
              <w:widowControl w:val="0"/>
              <w:jc w:val="center"/>
            </w:pPr>
            <w:r>
              <w:rPr>
                <w:rFonts w:hint="eastAsia"/>
              </w:rPr>
              <w:t>郑州城轨交通中等专业学校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993" w:type="dxa"/>
            <w:shd w:val="clear" w:color="auto" w:fill="D9E2F3" w:themeFill="accent5" w:themeFillTint="33"/>
            <w:vAlign w:val="center"/>
          </w:tcPr>
          <w:p>
            <w:pPr>
              <w:widowControl w:val="0"/>
              <w:jc w:val="center"/>
            </w:pPr>
            <w:r>
              <w:rPr>
                <w:rFonts w:hint="eastAsia"/>
              </w:rPr>
              <w:t>21</w:t>
            </w:r>
          </w:p>
        </w:tc>
        <w:tc>
          <w:tcPr>
            <w:tcW w:w="3260" w:type="dxa"/>
            <w:shd w:val="clear" w:color="auto" w:fill="C5E0B3" w:themeFill="accent6" w:themeFillTint="66"/>
            <w:vAlign w:val="center"/>
          </w:tcPr>
          <w:p>
            <w:pPr>
              <w:widowControl w:val="0"/>
              <w:jc w:val="center"/>
            </w:pPr>
            <w:r>
              <w:rPr>
                <w:rFonts w:hint="eastAsia"/>
              </w:rPr>
              <w:t>现代农艺技术</w:t>
            </w:r>
          </w:p>
        </w:tc>
        <w:tc>
          <w:tcPr>
            <w:tcW w:w="4111" w:type="dxa"/>
            <w:shd w:val="clear" w:color="auto" w:fill="C5E0B3" w:themeFill="accent6" w:themeFillTint="66"/>
            <w:vAlign w:val="center"/>
          </w:tcPr>
          <w:p>
            <w:pPr>
              <w:widowControl w:val="0"/>
              <w:jc w:val="center"/>
            </w:pPr>
            <w:r>
              <w:rPr>
                <w:rFonts w:hint="eastAsia"/>
              </w:rPr>
              <w:t>新郑市中等专业学校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993" w:type="dxa"/>
            <w:shd w:val="clear" w:color="auto" w:fill="D9E2F3" w:themeFill="accent5" w:themeFillTint="33"/>
            <w:vAlign w:val="center"/>
          </w:tcPr>
          <w:p>
            <w:pPr>
              <w:widowControl w:val="0"/>
              <w:jc w:val="center"/>
            </w:pPr>
            <w:r>
              <w:rPr>
                <w:rFonts w:hint="eastAsia"/>
              </w:rPr>
              <w:t>22</w:t>
            </w:r>
          </w:p>
        </w:tc>
        <w:tc>
          <w:tcPr>
            <w:tcW w:w="3260" w:type="dxa"/>
            <w:shd w:val="clear" w:color="auto" w:fill="C5E0B3" w:themeFill="accent6" w:themeFillTint="66"/>
            <w:vAlign w:val="center"/>
          </w:tcPr>
          <w:p>
            <w:pPr>
              <w:widowControl w:val="0"/>
              <w:jc w:val="center"/>
            </w:pPr>
            <w:r>
              <w:rPr>
                <w:rFonts w:hint="eastAsia"/>
              </w:rPr>
              <w:t>电子商务</w:t>
            </w:r>
          </w:p>
        </w:tc>
        <w:tc>
          <w:tcPr>
            <w:tcW w:w="4111" w:type="dxa"/>
            <w:vMerge w:val="restart"/>
            <w:shd w:val="clear" w:color="auto" w:fill="C5E0B3" w:themeFill="accent6" w:themeFillTint="66"/>
            <w:vAlign w:val="center"/>
          </w:tcPr>
          <w:p>
            <w:pPr>
              <w:widowControl w:val="0"/>
              <w:jc w:val="center"/>
            </w:pPr>
            <w:r>
              <w:rPr>
                <w:rFonts w:hint="eastAsia"/>
              </w:rPr>
              <w:t>郑州市商贸管理学校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993" w:type="dxa"/>
            <w:shd w:val="clear" w:color="auto" w:fill="D9E2F3" w:themeFill="accent5" w:themeFillTint="33"/>
            <w:vAlign w:val="center"/>
          </w:tcPr>
          <w:p>
            <w:pPr>
              <w:widowControl w:val="0"/>
              <w:jc w:val="center"/>
            </w:pPr>
            <w:r>
              <w:rPr>
                <w:rFonts w:hint="eastAsia"/>
              </w:rPr>
              <w:t>23</w:t>
            </w:r>
          </w:p>
        </w:tc>
        <w:tc>
          <w:tcPr>
            <w:tcW w:w="3260" w:type="dxa"/>
            <w:shd w:val="clear" w:color="auto" w:fill="C5E0B3" w:themeFill="accent6" w:themeFillTint="66"/>
            <w:vAlign w:val="center"/>
          </w:tcPr>
          <w:p>
            <w:pPr>
              <w:widowControl w:val="0"/>
              <w:jc w:val="center"/>
            </w:pPr>
            <w:r>
              <w:rPr>
                <w:rFonts w:hint="eastAsia"/>
              </w:rPr>
              <w:t>工艺美术</w:t>
            </w:r>
          </w:p>
        </w:tc>
        <w:tc>
          <w:tcPr>
            <w:tcW w:w="4111" w:type="dxa"/>
            <w:vMerge w:val="continue"/>
            <w:vAlign w:val="center"/>
          </w:tcPr>
          <w:p>
            <w:pPr>
              <w:widowControl w:val="0"/>
              <w:jc w:val="center"/>
              <w:rPr>
                <w:rFonts w:asciiTheme="minorEastAsia" w:hAnsiTheme="minorEastAsia" w:eastAsiaTheme="minorEastAsia" w:cstheme="minorEastAsia"/>
                <w:kern w:val="0"/>
                <w:sz w:val="22"/>
                <w:szCs w:val="22"/>
                <w:shd w:val="clear" w:color="auto" w:fill="FFFFFF"/>
              </w:rPr>
            </w:pPr>
          </w:p>
        </w:tc>
      </w:tr>
    </w:tbl>
    <w:p>
      <w:pPr>
        <w:ind w:firstLine="643" w:firstLineChars="200"/>
        <w:rPr>
          <w:rFonts w:ascii="楷体" w:hAnsi="楷体" w:eastAsia="楷体" w:cs="楷体"/>
          <w:b/>
          <w:bCs/>
          <w:sz w:val="32"/>
          <w:szCs w:val="32"/>
        </w:rPr>
      </w:pPr>
      <w:bookmarkStart w:id="56" w:name="_Toc21570_WPSOffice_Level2"/>
      <w:bookmarkStart w:id="57" w:name="_Toc19661"/>
      <w:bookmarkStart w:id="58" w:name="_Toc7459_WPSOffice_Level2"/>
    </w:p>
    <w:p>
      <w:pPr>
        <w:ind w:firstLine="643" w:firstLineChars="200"/>
        <w:rPr>
          <w:rFonts w:ascii="楷体" w:hAnsi="楷体" w:eastAsia="楷体" w:cs="楷体"/>
          <w:b/>
          <w:bCs/>
          <w:sz w:val="32"/>
          <w:szCs w:val="32"/>
        </w:rPr>
      </w:pPr>
      <w:r>
        <w:rPr>
          <w:rFonts w:hint="eastAsia" w:ascii="楷体" w:hAnsi="楷体" w:eastAsia="楷体" w:cs="楷体"/>
          <w:b/>
          <w:bCs/>
          <w:sz w:val="32"/>
          <w:szCs w:val="32"/>
        </w:rPr>
        <w:t>3.2质量保证</w:t>
      </w:r>
      <w:bookmarkEnd w:id="56"/>
      <w:bookmarkEnd w:id="57"/>
      <w:bookmarkEnd w:id="58"/>
    </w:p>
    <w:p>
      <w:pPr>
        <w:ind w:firstLine="643" w:firstLineChars="2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优化中职学校布局结构。</w:t>
      </w:r>
      <w:r>
        <w:rPr>
          <w:rFonts w:hint="eastAsia" w:ascii="仿宋_GB2312" w:hAnsi="仿宋_GB2312" w:eastAsia="仿宋_GB2312" w:cs="仿宋_GB2312"/>
          <w:sz w:val="32"/>
          <w:szCs w:val="32"/>
        </w:rPr>
        <w:t>结合学校实际办学情况，经过实地摸排调查，上报省厅审批，确定2020年度具备学历教育招生资质中等职业学校74所，包括中职学校57所、高校中专部17所，进一步提高整体办学质量、规范办学秩序。</w:t>
      </w:r>
    </w:p>
    <w:p>
      <w:pPr>
        <w:ind w:firstLine="643" w:firstLineChars="200"/>
        <w:jc w:val="left"/>
        <w:rPr>
          <w:rFonts w:ascii="仿宋_GB2312" w:hAnsi="仿宋_GB2312" w:eastAsia="仿宋_GB2312" w:cs="仿宋_GB2312"/>
          <w:sz w:val="32"/>
          <w:szCs w:val="32"/>
        </w:rPr>
      </w:pPr>
      <w:r>
        <w:rPr>
          <w:rFonts w:hint="eastAsia" w:ascii="仿宋_GB2312" w:hAnsi="仿宋_GB2312" w:eastAsia="仿宋_GB2312" w:cs="仿宋_GB2312"/>
          <w:b/>
          <w:sz w:val="32"/>
          <w:szCs w:val="32"/>
        </w:rPr>
        <w:t>推进优质职教资源建设。一是</w:t>
      </w:r>
      <w:r>
        <w:rPr>
          <w:rFonts w:hint="eastAsia" w:ascii="仿宋_GB2312" w:hAnsi="仿宋_GB2312" w:eastAsia="仿宋_GB2312" w:cs="仿宋_GB2312"/>
          <w:sz w:val="32"/>
          <w:szCs w:val="32"/>
        </w:rPr>
        <w:t>积极推进郑州市电子信息工程学校、郑州市金融学校、郑州市国防科技学校、郑州市科技工业学校等4所学校的外迁建设项目。</w:t>
      </w:r>
      <w:r>
        <w:rPr>
          <w:rFonts w:hint="eastAsia" w:ascii="仿宋_GB2312" w:hAnsi="仿宋_GB2312" w:eastAsia="仿宋_GB2312" w:cs="仿宋_GB2312"/>
          <w:b/>
          <w:sz w:val="32"/>
          <w:szCs w:val="32"/>
        </w:rPr>
        <w:t>二是</w:t>
      </w:r>
      <w:r>
        <w:rPr>
          <w:rFonts w:hint="eastAsia" w:ascii="仿宋_GB2312" w:hAnsi="仿宋_GB2312" w:eastAsia="仿宋_GB2312" w:cs="仿宋_GB2312"/>
          <w:sz w:val="32"/>
          <w:szCs w:val="32"/>
        </w:rPr>
        <w:t>调研督促郑州旅游职业学院、郑州工程技术学院两所高校老校区的搬迁移交情况，推进郑州</w:t>
      </w:r>
      <w:r>
        <w:rPr>
          <w:rFonts w:ascii="仿宋_GB2312" w:hAnsi="仿宋_GB2312" w:eastAsia="仿宋_GB2312" w:cs="仿宋_GB2312"/>
          <w:sz w:val="32"/>
          <w:szCs w:val="32"/>
        </w:rPr>
        <w:t>艺术幼儿师范学校</w:t>
      </w:r>
      <w:r>
        <w:rPr>
          <w:rFonts w:hint="eastAsia" w:ascii="仿宋_GB2312" w:hAnsi="仿宋_GB2312" w:eastAsia="仿宋_GB2312" w:cs="仿宋_GB2312"/>
          <w:sz w:val="32"/>
          <w:szCs w:val="32"/>
        </w:rPr>
        <w:t>、郑州市</w:t>
      </w:r>
      <w:r>
        <w:rPr>
          <w:rFonts w:ascii="仿宋_GB2312" w:hAnsi="仿宋_GB2312" w:eastAsia="仿宋_GB2312" w:cs="仿宋_GB2312"/>
          <w:sz w:val="32"/>
          <w:szCs w:val="32"/>
        </w:rPr>
        <w:t>商贸管理学校</w:t>
      </w:r>
      <w:r>
        <w:rPr>
          <w:rFonts w:hint="eastAsia" w:ascii="仿宋_GB2312" w:hAnsi="仿宋_GB2312" w:eastAsia="仿宋_GB2312" w:cs="仿宋_GB2312"/>
          <w:sz w:val="32"/>
          <w:szCs w:val="32"/>
        </w:rPr>
        <w:t>、郑州市</w:t>
      </w:r>
      <w:r>
        <w:rPr>
          <w:rFonts w:ascii="仿宋_GB2312" w:hAnsi="仿宋_GB2312" w:eastAsia="仿宋_GB2312" w:cs="仿宋_GB2312"/>
          <w:sz w:val="32"/>
          <w:szCs w:val="32"/>
        </w:rPr>
        <w:t>财贸学校等</w:t>
      </w:r>
      <w:r>
        <w:rPr>
          <w:rFonts w:hint="eastAsia" w:ascii="仿宋_GB2312" w:hAnsi="仿宋_GB2312" w:eastAsia="仿宋_GB2312" w:cs="仿宋_GB2312"/>
          <w:sz w:val="32"/>
          <w:szCs w:val="32"/>
        </w:rPr>
        <w:t>3所中职学校所在的校区实现完整移交，逐步改善办学条件，推动郑州市中等职业教育健康发展，扩大职业教育优质资源供给。</w:t>
      </w:r>
    </w:p>
    <w:p>
      <w:pPr>
        <w:ind w:firstLine="643" w:firstLineChars="200"/>
        <w:jc w:val="left"/>
        <w:rPr>
          <w:rFonts w:ascii="仿宋_GB2312" w:hAnsi="仿宋_GB2312" w:eastAsia="仿宋_GB2312" w:cs="仿宋_GB2312"/>
          <w:sz w:val="32"/>
          <w:szCs w:val="32"/>
        </w:rPr>
      </w:pPr>
      <w:r>
        <w:rPr>
          <w:rFonts w:hint="eastAsia" w:ascii="仿宋_GB2312" w:hAnsi="仿宋_GB2312" w:eastAsia="仿宋_GB2312" w:cs="仿宋_GB2312"/>
          <w:b/>
          <w:sz w:val="32"/>
          <w:szCs w:val="32"/>
        </w:rPr>
        <w:t>完善质量评价和监控机制。</w:t>
      </w:r>
      <w:r>
        <w:rPr>
          <w:rFonts w:hint="eastAsia" w:ascii="仿宋_GB2312" w:hAnsi="仿宋_GB2312" w:eastAsia="仿宋_GB2312" w:cs="仿宋_GB2312"/>
          <w:sz w:val="32"/>
          <w:szCs w:val="32"/>
        </w:rPr>
        <w:t>优化文化基础学科学业水平测试办法，郑州市积极探索对德育、计算机基础、语文、数学、英语等基础学科学业水平测试线上考试方式。2020年，指导7所市属学校和部分县区学校共14235人次组织开展了线上测试，我市中等职业教育在探索“互联网+评价”上迈出了第一步，并力争早日实现文化基础学科考试信息化、无纸化以及时间的弹性化，从而与中职教育工学交替、弹性学制等人才培养机制相适应。</w:t>
      </w:r>
    </w:p>
    <w:p>
      <w:pPr>
        <w:ind w:firstLine="643" w:firstLineChars="200"/>
        <w:rPr>
          <w:rFonts w:ascii="仿宋_GB2312" w:hAnsi="仿宋_GB2312" w:eastAsia="仿宋_GB2312" w:cs="仿宋_GB2312"/>
          <w:sz w:val="32"/>
          <w:szCs w:val="32"/>
        </w:rPr>
      </w:pPr>
      <w:bookmarkStart w:id="59" w:name="_Toc18237"/>
      <w:r>
        <w:rPr>
          <w:rFonts w:hint="eastAsia" w:ascii="仿宋_GB2312" w:hAnsi="仿宋_GB2312" w:eastAsia="仿宋_GB2312" w:cs="仿宋_GB2312"/>
          <w:b/>
          <w:sz w:val="32"/>
          <w:szCs w:val="32"/>
        </w:rPr>
        <w:t>完善质量年度报告制度。</w:t>
      </w:r>
      <w:r>
        <w:rPr>
          <w:rFonts w:hint="eastAsia" w:ascii="仿宋_GB2312" w:hAnsi="仿宋_GB2312" w:eastAsia="仿宋_GB2312" w:cs="仿宋_GB2312"/>
          <w:sz w:val="32"/>
          <w:szCs w:val="32"/>
        </w:rPr>
        <w:t>建立中等职业教育质量年度报告发布制度，指导、督促各区（县、市）教育局、市属各中等职业学校定期发布质量年度报告。2020年，郑州市共有57所中职学校按照要求发布了2019年度质量报告。</w:t>
      </w:r>
    </w:p>
    <w:p>
      <w:pPr>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以全员化竞赛强化技能提升。</w:t>
      </w:r>
      <w:r>
        <w:rPr>
          <w:rFonts w:hint="eastAsia" w:ascii="仿宋_GB2312" w:hAnsi="仿宋_GB2312" w:eastAsia="仿宋_GB2312" w:cs="仿宋_GB2312"/>
          <w:sz w:val="32"/>
          <w:szCs w:val="32"/>
        </w:rPr>
        <w:t>郑州市中等职业教育以培育学生工匠精神、锤炼技术技能、促进教育教学改革为目标</w:t>
      </w:r>
      <w:r>
        <w:rPr>
          <w:rFonts w:hint="eastAsia" w:ascii="仿宋_GB2312" w:hAnsi="仿宋_GB2312" w:eastAsia="仿宋_GB2312" w:cs="仿宋_GB2312"/>
          <w:kern w:val="0"/>
          <w:sz w:val="32"/>
          <w:szCs w:val="32"/>
        </w:rPr>
        <w:t>，按照人人参与、校校选拔的原则，落实全员化技能竞赛，以赛促学、以赛促教、以赛促改。2020年，在保障疫情防控安全的前提下，稳妥组织了郑州市第二十六届学生技能大赛暨第十六届教师基本功竞赛、</w:t>
      </w:r>
      <w:r>
        <w:rPr>
          <w:rFonts w:hint="eastAsia" w:ascii="仿宋_GB2312" w:hAnsi="仿宋_GB2312" w:eastAsia="仿宋_GB2312" w:cs="仿宋_GB2312"/>
          <w:sz w:val="32"/>
          <w:szCs w:val="32"/>
        </w:rPr>
        <w:t>中华传统文化竞赛、第十三届中等职业学校“文明风采”竞赛活动、班主任业务能力比赛、</w:t>
      </w:r>
      <w:r>
        <w:rPr>
          <w:rFonts w:hint="eastAsia" w:ascii="仿宋_GB2312" w:hAnsi="仿宋_GB2312" w:eastAsia="仿宋_GB2312" w:cs="仿宋_GB2312"/>
          <w:kern w:val="0"/>
          <w:sz w:val="32"/>
          <w:szCs w:val="32"/>
        </w:rPr>
        <w:t>教师信息化教学设计及说课交流活动</w:t>
      </w:r>
      <w:r>
        <w:rPr>
          <w:rFonts w:hint="eastAsia" w:ascii="仿宋_GB2312" w:hAnsi="仿宋_GB2312" w:eastAsia="仿宋_GB2312" w:cs="仿宋_GB2312"/>
          <w:sz w:val="32"/>
          <w:szCs w:val="32"/>
        </w:rPr>
        <w:t>等多项竞赛。经过校级选拔，全员化参与下，在市级决赛阶段共1293名师生（1071名学生，222名教师）40余学校参与56个赛项。经过市级选拔，组队参加省级技能竞赛，获得专业技能类一等奖138个、二等奖67个、三等奖63个。</w:t>
      </w:r>
    </w:p>
    <w:p>
      <w:pPr>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国赛再创佳绩。</w:t>
      </w:r>
      <w:r>
        <w:rPr>
          <w:rFonts w:hint="eastAsia" w:ascii="仿宋_GB2312" w:hAnsi="仿宋_GB2312" w:eastAsia="仿宋_GB2312" w:cs="仿宋_GB2312"/>
          <w:sz w:val="32"/>
          <w:szCs w:val="32"/>
        </w:rPr>
        <w:t>2020年9月中旬，教育部《关于举办2020年全国职业院校技能大赛改革试点赛的通知 》（教职成函〔2020〕5号）决定：改革试点赛依托教育部和山东省共建的国家职业教育创新发展高地，11月在山东举办。我市各中职学校在第一时间启动技能大赛备战工作，全面落实职教强技要求，强化教学结合、学训融合，着力提高技能大赛组织化程度，通过技能大赛促进了教育教学质量的可持续提升。在今年改革试点赛中郑州市共组建7个代表队参赛，</w:t>
      </w:r>
      <w:r>
        <w:rPr>
          <w:rFonts w:hint="eastAsia" w:ascii="仿宋_GB2312" w:eastAsia="仿宋_GB2312" w:cs="宋体"/>
          <w:kern w:val="0"/>
          <w:sz w:val="32"/>
          <w:szCs w:val="32"/>
        </w:rPr>
        <w:t>夺取金牌2枚（河南省共获2枚），银牌3枚（河南省共7枚），三等奖1枚（河南省共6枚），总奖牌6枚，占比全省40</w:t>
      </w:r>
      <w:r>
        <w:rPr>
          <w:rFonts w:hint="eastAsia" w:ascii="仿宋" w:hAnsi="仿宋" w:eastAsia="仿宋" w:cs="宋体"/>
          <w:kern w:val="0"/>
          <w:sz w:val="32"/>
          <w:szCs w:val="32"/>
        </w:rPr>
        <w:t>％</w:t>
      </w:r>
      <w:r>
        <w:rPr>
          <w:rFonts w:hint="eastAsia" w:ascii="仿宋_GB2312" w:hAnsi="仿宋_GB2312" w:eastAsia="仿宋_GB2312" w:cs="仿宋_GB2312"/>
          <w:sz w:val="32"/>
          <w:szCs w:val="32"/>
        </w:rPr>
        <w:t>，</w:t>
      </w:r>
      <w:r>
        <w:rPr>
          <w:rFonts w:hint="eastAsia" w:ascii="仿宋" w:hAnsi="仿宋" w:eastAsia="仿宋" w:cs="宋体"/>
          <w:kern w:val="0"/>
          <w:sz w:val="32"/>
          <w:szCs w:val="32"/>
        </w:rPr>
        <w:t>含金量大大升高，树立了郑州职业教育品牌</w:t>
      </w:r>
      <w:r>
        <w:rPr>
          <w:rFonts w:hint="eastAsia" w:ascii="仿宋_GB2312" w:eastAsia="仿宋_GB2312" w:cs="宋体"/>
          <w:kern w:val="0"/>
          <w:sz w:val="32"/>
          <w:szCs w:val="32"/>
        </w:rPr>
        <w:t>。</w:t>
      </w:r>
    </w:p>
    <w:p>
      <w:pPr>
        <w:widowControl w:val="0"/>
        <w:jc w:val="center"/>
        <w:rPr>
          <w:rFonts w:ascii="黑体" w:hAnsi="黑体" w:eastAsia="黑体"/>
          <w:sz w:val="28"/>
          <w:szCs w:val="28"/>
        </w:rPr>
      </w:pPr>
      <w:r>
        <w:rPr>
          <w:rFonts w:hint="eastAsia" w:ascii="黑体" w:hAnsi="黑体" w:eastAsia="黑体"/>
          <w:sz w:val="28"/>
          <w:szCs w:val="28"/>
        </w:rPr>
        <w:t>表3-6：2018—2020年郑州市中等职业学校参加全国职业院校</w:t>
      </w:r>
    </w:p>
    <w:p>
      <w:pPr>
        <w:widowControl w:val="0"/>
        <w:jc w:val="center"/>
        <w:rPr>
          <w:rFonts w:ascii="黑体" w:hAnsi="黑体" w:eastAsia="黑体"/>
          <w:sz w:val="28"/>
          <w:szCs w:val="28"/>
        </w:rPr>
      </w:pPr>
      <w:r>
        <w:rPr>
          <w:rFonts w:hint="eastAsia" w:ascii="黑体" w:hAnsi="黑体" w:eastAsia="黑体"/>
          <w:sz w:val="28"/>
          <w:szCs w:val="28"/>
        </w:rPr>
        <w:t>技能大赛获奖情况</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1701"/>
        <w:gridCol w:w="1843"/>
        <w:gridCol w:w="1985"/>
        <w:gridCol w:w="1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943" w:type="dxa"/>
            <w:gridSpan w:val="2"/>
            <w:shd w:val="clear" w:color="auto" w:fill="D9E2F3" w:themeFill="accent5" w:themeFillTint="33"/>
            <w:vAlign w:val="center"/>
          </w:tcPr>
          <w:p>
            <w:pPr>
              <w:widowControl w:val="0"/>
              <w:jc w:val="center"/>
              <w:rPr>
                <w:rFonts w:ascii="黑体" w:hAnsi="黑体" w:eastAsia="黑体" w:cs="黑体"/>
                <w:kern w:val="0"/>
                <w:sz w:val="22"/>
                <w:szCs w:val="22"/>
                <w:lang w:bidi="ar"/>
              </w:rPr>
            </w:pPr>
            <w:bookmarkStart w:id="60" w:name="_Toc4056_WPSOffice_Level2"/>
            <w:bookmarkStart w:id="61" w:name="_Toc16198_WPSOffice_Level2"/>
          </w:p>
        </w:tc>
        <w:tc>
          <w:tcPr>
            <w:tcW w:w="1843" w:type="dxa"/>
            <w:shd w:val="clear" w:color="auto" w:fill="D9E2F3" w:themeFill="accent5" w:themeFillTint="33"/>
            <w:vAlign w:val="center"/>
          </w:tcPr>
          <w:p>
            <w:pPr>
              <w:widowControl w:val="0"/>
              <w:jc w:val="center"/>
              <w:rPr>
                <w:rFonts w:ascii="黑体" w:hAnsi="黑体" w:eastAsia="黑体" w:cs="黑体"/>
                <w:kern w:val="0"/>
                <w:sz w:val="22"/>
                <w:szCs w:val="22"/>
                <w:lang w:bidi="ar"/>
              </w:rPr>
            </w:pPr>
            <w:r>
              <w:rPr>
                <w:rFonts w:hint="eastAsia" w:ascii="黑体" w:hAnsi="黑体" w:eastAsia="黑体" w:cs="黑体"/>
                <w:kern w:val="0"/>
                <w:sz w:val="22"/>
                <w:szCs w:val="22"/>
                <w:lang w:bidi="ar"/>
              </w:rPr>
              <w:t>2018年</w:t>
            </w:r>
          </w:p>
        </w:tc>
        <w:tc>
          <w:tcPr>
            <w:tcW w:w="1985" w:type="dxa"/>
            <w:shd w:val="clear" w:color="auto" w:fill="D9E2F3" w:themeFill="accent5" w:themeFillTint="33"/>
            <w:vAlign w:val="center"/>
          </w:tcPr>
          <w:p>
            <w:pPr>
              <w:widowControl w:val="0"/>
              <w:jc w:val="center"/>
              <w:rPr>
                <w:rFonts w:ascii="黑体" w:hAnsi="黑体" w:eastAsia="黑体" w:cs="黑体"/>
                <w:kern w:val="0"/>
                <w:sz w:val="22"/>
                <w:szCs w:val="22"/>
                <w:lang w:bidi="ar"/>
              </w:rPr>
            </w:pPr>
            <w:r>
              <w:rPr>
                <w:rFonts w:hint="eastAsia" w:ascii="黑体" w:hAnsi="黑体" w:eastAsia="黑体" w:cs="黑体"/>
                <w:kern w:val="0"/>
                <w:sz w:val="22"/>
                <w:szCs w:val="22"/>
                <w:lang w:bidi="ar"/>
              </w:rPr>
              <w:t>2019年</w:t>
            </w:r>
          </w:p>
        </w:tc>
        <w:tc>
          <w:tcPr>
            <w:tcW w:w="1842" w:type="dxa"/>
            <w:shd w:val="clear" w:color="auto" w:fill="D9E2F3" w:themeFill="accent5" w:themeFillTint="33"/>
            <w:vAlign w:val="center"/>
          </w:tcPr>
          <w:p>
            <w:pPr>
              <w:widowControl w:val="0"/>
              <w:jc w:val="center"/>
              <w:rPr>
                <w:rFonts w:ascii="黑体" w:hAnsi="黑体" w:eastAsia="黑体" w:cs="黑体"/>
                <w:kern w:val="0"/>
                <w:sz w:val="22"/>
                <w:szCs w:val="22"/>
                <w:lang w:bidi="ar"/>
              </w:rPr>
            </w:pPr>
            <w:r>
              <w:rPr>
                <w:rFonts w:hint="eastAsia" w:ascii="黑体" w:hAnsi="黑体" w:eastAsia="黑体" w:cs="黑体"/>
                <w:kern w:val="0"/>
                <w:sz w:val="22"/>
                <w:szCs w:val="22"/>
                <w:lang w:bidi="ar"/>
              </w:rPr>
              <w:t>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3" w:type="dxa"/>
            <w:gridSpan w:val="2"/>
            <w:shd w:val="clear" w:color="auto" w:fill="B4C6E7" w:themeFill="accent5" w:themeFillTint="66"/>
            <w:vAlign w:val="center"/>
          </w:tcPr>
          <w:p>
            <w:pPr>
              <w:widowControl w:val="0"/>
              <w:jc w:val="center"/>
              <w:rPr>
                <w:rFonts w:ascii="黑体" w:hAnsi="黑体" w:eastAsia="黑体" w:cs="黑体"/>
                <w:kern w:val="0"/>
                <w:sz w:val="22"/>
                <w:szCs w:val="22"/>
                <w:lang w:bidi="ar"/>
              </w:rPr>
            </w:pPr>
            <w:r>
              <w:rPr>
                <w:rFonts w:hint="eastAsia" w:ascii="黑体" w:hAnsi="黑体" w:eastAsia="黑体" w:cs="黑体"/>
                <w:kern w:val="0"/>
                <w:sz w:val="22"/>
                <w:szCs w:val="22"/>
                <w:lang w:bidi="ar"/>
              </w:rPr>
              <w:t>举办项目数</w:t>
            </w:r>
          </w:p>
        </w:tc>
        <w:tc>
          <w:tcPr>
            <w:tcW w:w="1843" w:type="dxa"/>
            <w:shd w:val="clear" w:color="auto" w:fill="B4C6E7" w:themeFill="accent5" w:themeFillTint="66"/>
            <w:vAlign w:val="center"/>
          </w:tcPr>
          <w:p>
            <w:pPr>
              <w:widowControl w:val="0"/>
              <w:jc w:val="center"/>
              <w:rPr>
                <w:sz w:val="22"/>
                <w:szCs w:val="22"/>
              </w:rPr>
            </w:pPr>
            <w:r>
              <w:rPr>
                <w:rFonts w:hint="eastAsia"/>
                <w:sz w:val="22"/>
                <w:szCs w:val="22"/>
              </w:rPr>
              <w:t>33</w:t>
            </w:r>
          </w:p>
        </w:tc>
        <w:tc>
          <w:tcPr>
            <w:tcW w:w="1985" w:type="dxa"/>
            <w:shd w:val="clear" w:color="auto" w:fill="B4C6E7" w:themeFill="accent5" w:themeFillTint="66"/>
            <w:vAlign w:val="center"/>
          </w:tcPr>
          <w:p>
            <w:pPr>
              <w:widowControl w:val="0"/>
              <w:jc w:val="center"/>
              <w:rPr>
                <w:sz w:val="22"/>
                <w:szCs w:val="22"/>
              </w:rPr>
            </w:pPr>
            <w:r>
              <w:rPr>
                <w:rFonts w:hint="eastAsia"/>
                <w:sz w:val="22"/>
                <w:szCs w:val="22"/>
              </w:rPr>
              <w:t>40</w:t>
            </w:r>
          </w:p>
        </w:tc>
        <w:tc>
          <w:tcPr>
            <w:tcW w:w="1842" w:type="dxa"/>
            <w:shd w:val="clear" w:color="auto" w:fill="B4C6E7" w:themeFill="accent5" w:themeFillTint="66"/>
            <w:vAlign w:val="center"/>
          </w:tcPr>
          <w:p>
            <w:pPr>
              <w:widowControl w:val="0"/>
              <w:jc w:val="center"/>
              <w:rPr>
                <w:sz w:val="22"/>
                <w:szCs w:val="22"/>
              </w:rPr>
            </w:pPr>
            <w:r>
              <w:rPr>
                <w:rFonts w:hint="eastAsia"/>
                <w:sz w:val="22"/>
                <w:szCs w:val="22"/>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3" w:type="dxa"/>
            <w:gridSpan w:val="2"/>
            <w:shd w:val="clear" w:color="auto" w:fill="B4C6E7" w:themeFill="accent5" w:themeFillTint="66"/>
            <w:vAlign w:val="center"/>
          </w:tcPr>
          <w:p>
            <w:pPr>
              <w:widowControl w:val="0"/>
              <w:jc w:val="center"/>
              <w:rPr>
                <w:rFonts w:ascii="黑体" w:hAnsi="黑体" w:eastAsia="黑体" w:cs="黑体"/>
                <w:kern w:val="0"/>
                <w:sz w:val="22"/>
                <w:szCs w:val="22"/>
                <w:lang w:bidi="ar"/>
              </w:rPr>
            </w:pPr>
            <w:r>
              <w:rPr>
                <w:rFonts w:hint="eastAsia" w:ascii="黑体" w:hAnsi="黑体" w:eastAsia="黑体" w:cs="黑体"/>
                <w:kern w:val="0"/>
                <w:sz w:val="22"/>
                <w:szCs w:val="22"/>
                <w:lang w:bidi="ar"/>
              </w:rPr>
              <w:t>郑州市参赛队</w:t>
            </w:r>
          </w:p>
        </w:tc>
        <w:tc>
          <w:tcPr>
            <w:tcW w:w="1843" w:type="dxa"/>
            <w:shd w:val="clear" w:color="auto" w:fill="B4C6E7" w:themeFill="accent5" w:themeFillTint="66"/>
            <w:vAlign w:val="center"/>
          </w:tcPr>
          <w:p>
            <w:pPr>
              <w:widowControl w:val="0"/>
              <w:jc w:val="center"/>
              <w:rPr>
                <w:sz w:val="22"/>
                <w:szCs w:val="22"/>
              </w:rPr>
            </w:pPr>
            <w:r>
              <w:rPr>
                <w:rFonts w:hint="eastAsia"/>
                <w:sz w:val="22"/>
                <w:szCs w:val="22"/>
              </w:rPr>
              <w:t>39</w:t>
            </w:r>
          </w:p>
        </w:tc>
        <w:tc>
          <w:tcPr>
            <w:tcW w:w="1985" w:type="dxa"/>
            <w:shd w:val="clear" w:color="auto" w:fill="B4C6E7" w:themeFill="accent5" w:themeFillTint="66"/>
            <w:vAlign w:val="center"/>
          </w:tcPr>
          <w:p>
            <w:pPr>
              <w:widowControl w:val="0"/>
              <w:jc w:val="center"/>
              <w:rPr>
                <w:sz w:val="22"/>
                <w:szCs w:val="22"/>
              </w:rPr>
            </w:pPr>
            <w:r>
              <w:rPr>
                <w:rFonts w:hint="eastAsia"/>
                <w:sz w:val="22"/>
                <w:szCs w:val="22"/>
              </w:rPr>
              <w:t>53</w:t>
            </w:r>
          </w:p>
        </w:tc>
        <w:tc>
          <w:tcPr>
            <w:tcW w:w="1842" w:type="dxa"/>
            <w:shd w:val="clear" w:color="auto" w:fill="B4C6E7" w:themeFill="accent5" w:themeFillTint="66"/>
            <w:vAlign w:val="center"/>
          </w:tcPr>
          <w:p>
            <w:pPr>
              <w:widowControl w:val="0"/>
              <w:jc w:val="center"/>
              <w:rPr>
                <w:sz w:val="22"/>
                <w:szCs w:val="22"/>
              </w:rPr>
            </w:pPr>
            <w:r>
              <w:rPr>
                <w:rFonts w:hint="eastAsia"/>
                <w:sz w:val="22"/>
                <w:szCs w:val="22"/>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shd w:val="clear" w:color="auto" w:fill="C5E0B3" w:themeFill="accent6" w:themeFillTint="66"/>
            <w:vAlign w:val="center"/>
          </w:tcPr>
          <w:p>
            <w:pPr>
              <w:widowControl w:val="0"/>
              <w:jc w:val="center"/>
              <w:rPr>
                <w:rFonts w:ascii="黑体" w:hAnsi="黑体" w:eastAsia="黑体" w:cs="黑体"/>
                <w:kern w:val="0"/>
                <w:sz w:val="22"/>
                <w:szCs w:val="22"/>
                <w:lang w:bidi="ar"/>
              </w:rPr>
            </w:pPr>
            <w:r>
              <w:rPr>
                <w:rFonts w:hint="eastAsia" w:ascii="黑体" w:hAnsi="黑体" w:eastAsia="黑体" w:cs="黑体"/>
                <w:kern w:val="0"/>
                <w:sz w:val="22"/>
                <w:szCs w:val="22"/>
                <w:lang w:bidi="ar"/>
              </w:rPr>
              <w:t>一等奖</w:t>
            </w:r>
          </w:p>
        </w:tc>
        <w:tc>
          <w:tcPr>
            <w:tcW w:w="1701" w:type="dxa"/>
            <w:shd w:val="clear" w:color="auto" w:fill="C5E0B3" w:themeFill="accent6" w:themeFillTint="66"/>
            <w:vAlign w:val="center"/>
          </w:tcPr>
          <w:p>
            <w:pPr>
              <w:widowControl w:val="0"/>
              <w:jc w:val="center"/>
              <w:rPr>
                <w:rFonts w:ascii="黑体" w:hAnsi="黑体" w:eastAsia="黑体" w:cs="黑体"/>
                <w:kern w:val="0"/>
                <w:sz w:val="22"/>
                <w:szCs w:val="22"/>
                <w:lang w:bidi="ar"/>
              </w:rPr>
            </w:pPr>
            <w:r>
              <w:rPr>
                <w:rFonts w:hint="eastAsia" w:ascii="黑体" w:hAnsi="黑体" w:eastAsia="黑体" w:cs="黑体"/>
                <w:kern w:val="0"/>
                <w:sz w:val="22"/>
                <w:szCs w:val="22"/>
                <w:lang w:bidi="ar"/>
              </w:rPr>
              <w:t>郑州市</w:t>
            </w:r>
          </w:p>
        </w:tc>
        <w:tc>
          <w:tcPr>
            <w:tcW w:w="1843" w:type="dxa"/>
            <w:shd w:val="clear" w:color="auto" w:fill="C5E0B3" w:themeFill="accent6" w:themeFillTint="66"/>
            <w:vAlign w:val="center"/>
          </w:tcPr>
          <w:p>
            <w:pPr>
              <w:widowControl w:val="0"/>
              <w:jc w:val="center"/>
              <w:rPr>
                <w:sz w:val="22"/>
                <w:szCs w:val="22"/>
              </w:rPr>
            </w:pPr>
            <w:r>
              <w:rPr>
                <w:rFonts w:hint="eastAsia"/>
                <w:sz w:val="22"/>
                <w:szCs w:val="22"/>
              </w:rPr>
              <w:t>7</w:t>
            </w:r>
          </w:p>
        </w:tc>
        <w:tc>
          <w:tcPr>
            <w:tcW w:w="1985" w:type="dxa"/>
            <w:shd w:val="clear" w:color="auto" w:fill="C5E0B3" w:themeFill="accent6" w:themeFillTint="66"/>
            <w:vAlign w:val="center"/>
          </w:tcPr>
          <w:p>
            <w:pPr>
              <w:widowControl w:val="0"/>
              <w:jc w:val="center"/>
              <w:rPr>
                <w:sz w:val="22"/>
                <w:szCs w:val="22"/>
              </w:rPr>
            </w:pPr>
            <w:r>
              <w:rPr>
                <w:rFonts w:hint="eastAsia"/>
                <w:sz w:val="22"/>
                <w:szCs w:val="22"/>
              </w:rPr>
              <w:t>9</w:t>
            </w:r>
          </w:p>
        </w:tc>
        <w:tc>
          <w:tcPr>
            <w:tcW w:w="1842" w:type="dxa"/>
            <w:shd w:val="clear" w:color="auto" w:fill="C5E0B3" w:themeFill="accent6" w:themeFillTint="66"/>
            <w:vAlign w:val="center"/>
          </w:tcPr>
          <w:p>
            <w:pPr>
              <w:widowControl w:val="0"/>
              <w:jc w:val="center"/>
              <w:rPr>
                <w:sz w:val="22"/>
                <w:szCs w:val="22"/>
              </w:rPr>
            </w:pPr>
            <w:r>
              <w:rPr>
                <w:rFonts w:hint="eastAsia"/>
                <w:sz w:val="22"/>
                <w:szCs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shd w:val="clear" w:color="auto" w:fill="C5E0B3" w:themeFill="accent6" w:themeFillTint="66"/>
            <w:vAlign w:val="center"/>
          </w:tcPr>
          <w:p>
            <w:pPr>
              <w:widowControl w:val="0"/>
              <w:jc w:val="center"/>
              <w:rPr>
                <w:rFonts w:ascii="黑体" w:hAnsi="黑体" w:eastAsia="黑体" w:cs="黑体"/>
                <w:kern w:val="0"/>
                <w:sz w:val="22"/>
                <w:szCs w:val="22"/>
                <w:lang w:bidi="ar"/>
              </w:rPr>
            </w:pPr>
          </w:p>
        </w:tc>
        <w:tc>
          <w:tcPr>
            <w:tcW w:w="1701" w:type="dxa"/>
            <w:shd w:val="clear" w:color="auto" w:fill="C5E0B3" w:themeFill="accent6" w:themeFillTint="66"/>
            <w:vAlign w:val="center"/>
          </w:tcPr>
          <w:p>
            <w:pPr>
              <w:widowControl w:val="0"/>
              <w:jc w:val="center"/>
              <w:rPr>
                <w:rFonts w:ascii="黑体" w:hAnsi="黑体" w:eastAsia="黑体" w:cs="黑体"/>
                <w:kern w:val="0"/>
                <w:sz w:val="22"/>
                <w:szCs w:val="22"/>
                <w:lang w:bidi="ar"/>
              </w:rPr>
            </w:pPr>
            <w:r>
              <w:rPr>
                <w:rFonts w:hint="eastAsia" w:ascii="黑体" w:hAnsi="黑体" w:eastAsia="黑体" w:cs="黑体"/>
                <w:kern w:val="0"/>
                <w:sz w:val="22"/>
                <w:szCs w:val="22"/>
                <w:lang w:bidi="ar"/>
              </w:rPr>
              <w:t>河南省</w:t>
            </w:r>
          </w:p>
        </w:tc>
        <w:tc>
          <w:tcPr>
            <w:tcW w:w="1843" w:type="dxa"/>
            <w:shd w:val="clear" w:color="auto" w:fill="C5E0B3" w:themeFill="accent6" w:themeFillTint="66"/>
            <w:vAlign w:val="center"/>
          </w:tcPr>
          <w:p>
            <w:pPr>
              <w:widowControl w:val="0"/>
              <w:jc w:val="center"/>
              <w:rPr>
                <w:sz w:val="22"/>
                <w:szCs w:val="22"/>
              </w:rPr>
            </w:pPr>
            <w:r>
              <w:rPr>
                <w:rFonts w:hint="eastAsia"/>
                <w:sz w:val="22"/>
                <w:szCs w:val="22"/>
              </w:rPr>
              <w:t>12</w:t>
            </w:r>
          </w:p>
        </w:tc>
        <w:tc>
          <w:tcPr>
            <w:tcW w:w="1985" w:type="dxa"/>
            <w:shd w:val="clear" w:color="auto" w:fill="C5E0B3" w:themeFill="accent6" w:themeFillTint="66"/>
            <w:vAlign w:val="center"/>
          </w:tcPr>
          <w:p>
            <w:pPr>
              <w:widowControl w:val="0"/>
              <w:jc w:val="center"/>
              <w:rPr>
                <w:sz w:val="22"/>
                <w:szCs w:val="22"/>
              </w:rPr>
            </w:pPr>
            <w:r>
              <w:rPr>
                <w:rFonts w:hint="eastAsia"/>
                <w:sz w:val="22"/>
                <w:szCs w:val="22"/>
              </w:rPr>
              <w:t>17</w:t>
            </w:r>
          </w:p>
        </w:tc>
        <w:tc>
          <w:tcPr>
            <w:tcW w:w="1842" w:type="dxa"/>
            <w:shd w:val="clear" w:color="auto" w:fill="C5E0B3" w:themeFill="accent6" w:themeFillTint="66"/>
            <w:vAlign w:val="center"/>
          </w:tcPr>
          <w:p>
            <w:pPr>
              <w:widowControl w:val="0"/>
              <w:jc w:val="center"/>
              <w:rPr>
                <w:sz w:val="22"/>
                <w:szCs w:val="22"/>
              </w:rPr>
            </w:pPr>
            <w:r>
              <w:rPr>
                <w:rFonts w:hint="eastAsia"/>
                <w:sz w:val="22"/>
                <w:szCs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3" w:type="dxa"/>
            <w:gridSpan w:val="2"/>
            <w:shd w:val="clear" w:color="auto" w:fill="D9E2F3" w:themeFill="accent5" w:themeFillTint="33"/>
            <w:vAlign w:val="center"/>
          </w:tcPr>
          <w:p>
            <w:pPr>
              <w:widowControl w:val="0"/>
              <w:jc w:val="center"/>
              <w:rPr>
                <w:rFonts w:ascii="黑体" w:hAnsi="黑体" w:eastAsia="黑体" w:cs="黑体"/>
                <w:kern w:val="0"/>
                <w:sz w:val="22"/>
                <w:szCs w:val="22"/>
                <w:lang w:bidi="ar"/>
              </w:rPr>
            </w:pPr>
            <w:r>
              <w:rPr>
                <w:rFonts w:hint="eastAsia" w:ascii="黑体" w:hAnsi="黑体" w:eastAsia="黑体" w:cs="黑体"/>
                <w:kern w:val="0"/>
                <w:sz w:val="22"/>
                <w:szCs w:val="22"/>
                <w:lang w:bidi="ar"/>
              </w:rPr>
              <w:t>贡献度</w:t>
            </w:r>
          </w:p>
        </w:tc>
        <w:tc>
          <w:tcPr>
            <w:tcW w:w="1843" w:type="dxa"/>
            <w:shd w:val="clear" w:color="auto" w:fill="D9E2F3" w:themeFill="accent5" w:themeFillTint="33"/>
            <w:vAlign w:val="center"/>
          </w:tcPr>
          <w:p>
            <w:pPr>
              <w:widowControl w:val="0"/>
              <w:jc w:val="center"/>
              <w:rPr>
                <w:sz w:val="22"/>
                <w:szCs w:val="22"/>
              </w:rPr>
            </w:pPr>
            <w:r>
              <w:rPr>
                <w:rFonts w:hint="eastAsia"/>
                <w:sz w:val="22"/>
                <w:szCs w:val="22"/>
              </w:rPr>
              <w:t>58.33％</w:t>
            </w:r>
          </w:p>
        </w:tc>
        <w:tc>
          <w:tcPr>
            <w:tcW w:w="1985" w:type="dxa"/>
            <w:shd w:val="clear" w:color="auto" w:fill="D9E2F3" w:themeFill="accent5" w:themeFillTint="33"/>
            <w:vAlign w:val="center"/>
          </w:tcPr>
          <w:p>
            <w:pPr>
              <w:widowControl w:val="0"/>
              <w:jc w:val="center"/>
              <w:rPr>
                <w:sz w:val="22"/>
                <w:szCs w:val="22"/>
              </w:rPr>
            </w:pPr>
            <w:r>
              <w:rPr>
                <w:rFonts w:hint="eastAsia"/>
                <w:sz w:val="22"/>
                <w:szCs w:val="22"/>
              </w:rPr>
              <w:t>52.94％</w:t>
            </w:r>
          </w:p>
        </w:tc>
        <w:tc>
          <w:tcPr>
            <w:tcW w:w="1842" w:type="dxa"/>
            <w:shd w:val="clear" w:color="auto" w:fill="D9E2F3" w:themeFill="accent5" w:themeFillTint="33"/>
            <w:vAlign w:val="center"/>
          </w:tcPr>
          <w:p>
            <w:pPr>
              <w:widowControl w:val="0"/>
              <w:jc w:val="center"/>
              <w:rPr>
                <w:sz w:val="22"/>
                <w:szCs w:val="22"/>
              </w:rPr>
            </w:pPr>
            <w:r>
              <w:rPr>
                <w:rFonts w:hint="eastAsia"/>
                <w:sz w:val="22"/>
                <w:szCs w:val="22"/>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shd w:val="clear" w:color="auto" w:fill="C5E0B3" w:themeFill="accent6" w:themeFillTint="66"/>
            <w:vAlign w:val="center"/>
          </w:tcPr>
          <w:p>
            <w:pPr>
              <w:widowControl w:val="0"/>
              <w:jc w:val="center"/>
              <w:rPr>
                <w:rFonts w:ascii="黑体" w:hAnsi="黑体" w:eastAsia="黑体" w:cs="黑体"/>
                <w:kern w:val="0"/>
                <w:sz w:val="22"/>
                <w:szCs w:val="22"/>
                <w:lang w:bidi="ar"/>
              </w:rPr>
            </w:pPr>
            <w:r>
              <w:rPr>
                <w:rFonts w:hint="eastAsia" w:ascii="黑体" w:hAnsi="黑体" w:eastAsia="黑体" w:cs="黑体"/>
                <w:kern w:val="0"/>
                <w:sz w:val="22"/>
                <w:szCs w:val="22"/>
                <w:lang w:bidi="ar"/>
              </w:rPr>
              <w:t>二等奖</w:t>
            </w:r>
          </w:p>
        </w:tc>
        <w:tc>
          <w:tcPr>
            <w:tcW w:w="1701" w:type="dxa"/>
            <w:shd w:val="clear" w:color="auto" w:fill="C5E0B3" w:themeFill="accent6" w:themeFillTint="66"/>
            <w:vAlign w:val="center"/>
          </w:tcPr>
          <w:p>
            <w:pPr>
              <w:widowControl w:val="0"/>
              <w:jc w:val="center"/>
              <w:rPr>
                <w:rFonts w:ascii="黑体" w:hAnsi="黑体" w:eastAsia="黑体" w:cs="黑体"/>
                <w:kern w:val="0"/>
                <w:sz w:val="22"/>
                <w:szCs w:val="22"/>
                <w:lang w:bidi="ar"/>
              </w:rPr>
            </w:pPr>
            <w:r>
              <w:rPr>
                <w:rFonts w:hint="eastAsia" w:ascii="黑体" w:hAnsi="黑体" w:eastAsia="黑体" w:cs="黑体"/>
                <w:kern w:val="0"/>
                <w:sz w:val="22"/>
                <w:szCs w:val="22"/>
                <w:lang w:bidi="ar"/>
              </w:rPr>
              <w:t>郑州市</w:t>
            </w:r>
          </w:p>
        </w:tc>
        <w:tc>
          <w:tcPr>
            <w:tcW w:w="1843" w:type="dxa"/>
            <w:shd w:val="clear" w:color="auto" w:fill="C5E0B3" w:themeFill="accent6" w:themeFillTint="66"/>
            <w:vAlign w:val="center"/>
          </w:tcPr>
          <w:p>
            <w:pPr>
              <w:widowControl w:val="0"/>
              <w:jc w:val="center"/>
              <w:rPr>
                <w:sz w:val="22"/>
                <w:szCs w:val="22"/>
              </w:rPr>
            </w:pPr>
            <w:r>
              <w:rPr>
                <w:rFonts w:hint="eastAsia"/>
                <w:sz w:val="22"/>
                <w:szCs w:val="22"/>
              </w:rPr>
              <w:t>15</w:t>
            </w:r>
          </w:p>
        </w:tc>
        <w:tc>
          <w:tcPr>
            <w:tcW w:w="1985" w:type="dxa"/>
            <w:shd w:val="clear" w:color="auto" w:fill="C5E0B3" w:themeFill="accent6" w:themeFillTint="66"/>
            <w:vAlign w:val="center"/>
          </w:tcPr>
          <w:p>
            <w:pPr>
              <w:widowControl w:val="0"/>
              <w:jc w:val="center"/>
              <w:rPr>
                <w:sz w:val="22"/>
                <w:szCs w:val="22"/>
              </w:rPr>
            </w:pPr>
            <w:r>
              <w:rPr>
                <w:rFonts w:hint="eastAsia"/>
                <w:sz w:val="22"/>
                <w:szCs w:val="22"/>
              </w:rPr>
              <w:t>15</w:t>
            </w:r>
          </w:p>
        </w:tc>
        <w:tc>
          <w:tcPr>
            <w:tcW w:w="1842" w:type="dxa"/>
            <w:shd w:val="clear" w:color="auto" w:fill="C5E0B3" w:themeFill="accent6" w:themeFillTint="66"/>
            <w:vAlign w:val="center"/>
          </w:tcPr>
          <w:p>
            <w:pPr>
              <w:widowControl w:val="0"/>
              <w:jc w:val="center"/>
              <w:rPr>
                <w:sz w:val="22"/>
                <w:szCs w:val="22"/>
              </w:rPr>
            </w:pPr>
            <w:r>
              <w:rPr>
                <w:rFonts w:hint="eastAsia"/>
                <w:sz w:val="22"/>
                <w:szCs w:val="22"/>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shd w:val="clear" w:color="auto" w:fill="C5E0B3" w:themeFill="accent6" w:themeFillTint="66"/>
            <w:vAlign w:val="center"/>
          </w:tcPr>
          <w:p>
            <w:pPr>
              <w:widowControl w:val="0"/>
              <w:jc w:val="center"/>
              <w:rPr>
                <w:rFonts w:ascii="黑体" w:hAnsi="黑体" w:eastAsia="黑体" w:cs="黑体"/>
                <w:kern w:val="0"/>
                <w:sz w:val="22"/>
                <w:szCs w:val="22"/>
                <w:lang w:bidi="ar"/>
              </w:rPr>
            </w:pPr>
          </w:p>
        </w:tc>
        <w:tc>
          <w:tcPr>
            <w:tcW w:w="1701" w:type="dxa"/>
            <w:shd w:val="clear" w:color="auto" w:fill="C5E0B3" w:themeFill="accent6" w:themeFillTint="66"/>
            <w:vAlign w:val="center"/>
          </w:tcPr>
          <w:p>
            <w:pPr>
              <w:widowControl w:val="0"/>
              <w:jc w:val="center"/>
              <w:rPr>
                <w:rFonts w:ascii="黑体" w:hAnsi="黑体" w:eastAsia="黑体" w:cs="黑体"/>
                <w:kern w:val="0"/>
                <w:sz w:val="22"/>
                <w:szCs w:val="22"/>
                <w:lang w:bidi="ar"/>
              </w:rPr>
            </w:pPr>
            <w:r>
              <w:rPr>
                <w:rFonts w:hint="eastAsia" w:ascii="黑体" w:hAnsi="黑体" w:eastAsia="黑体" w:cs="黑体"/>
                <w:kern w:val="0"/>
                <w:sz w:val="22"/>
                <w:szCs w:val="22"/>
                <w:lang w:bidi="ar"/>
              </w:rPr>
              <w:t>河南省</w:t>
            </w:r>
          </w:p>
        </w:tc>
        <w:tc>
          <w:tcPr>
            <w:tcW w:w="1843" w:type="dxa"/>
            <w:shd w:val="clear" w:color="auto" w:fill="C5E0B3" w:themeFill="accent6" w:themeFillTint="66"/>
            <w:vAlign w:val="center"/>
          </w:tcPr>
          <w:p>
            <w:pPr>
              <w:widowControl w:val="0"/>
              <w:jc w:val="center"/>
              <w:rPr>
                <w:sz w:val="22"/>
                <w:szCs w:val="22"/>
              </w:rPr>
            </w:pPr>
            <w:r>
              <w:rPr>
                <w:rFonts w:hint="eastAsia"/>
                <w:sz w:val="22"/>
                <w:szCs w:val="22"/>
              </w:rPr>
              <w:t>34</w:t>
            </w:r>
          </w:p>
        </w:tc>
        <w:tc>
          <w:tcPr>
            <w:tcW w:w="1985" w:type="dxa"/>
            <w:shd w:val="clear" w:color="auto" w:fill="C5E0B3" w:themeFill="accent6" w:themeFillTint="66"/>
            <w:vAlign w:val="center"/>
          </w:tcPr>
          <w:p>
            <w:pPr>
              <w:widowControl w:val="0"/>
              <w:jc w:val="center"/>
              <w:rPr>
                <w:sz w:val="22"/>
                <w:szCs w:val="22"/>
              </w:rPr>
            </w:pPr>
            <w:r>
              <w:rPr>
                <w:rFonts w:hint="eastAsia"/>
                <w:sz w:val="22"/>
                <w:szCs w:val="22"/>
              </w:rPr>
              <w:t>36</w:t>
            </w:r>
          </w:p>
        </w:tc>
        <w:tc>
          <w:tcPr>
            <w:tcW w:w="1842" w:type="dxa"/>
            <w:shd w:val="clear" w:color="auto" w:fill="C5E0B3" w:themeFill="accent6" w:themeFillTint="66"/>
            <w:vAlign w:val="center"/>
          </w:tcPr>
          <w:p>
            <w:pPr>
              <w:widowControl w:val="0"/>
              <w:jc w:val="center"/>
              <w:rPr>
                <w:sz w:val="22"/>
                <w:szCs w:val="22"/>
              </w:rPr>
            </w:pPr>
            <w:r>
              <w:rPr>
                <w:rFonts w:hint="eastAsia"/>
                <w:sz w:val="22"/>
                <w:szCs w:val="22"/>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3" w:type="dxa"/>
            <w:gridSpan w:val="2"/>
            <w:shd w:val="clear" w:color="auto" w:fill="D9E2F3" w:themeFill="accent5" w:themeFillTint="33"/>
            <w:vAlign w:val="center"/>
          </w:tcPr>
          <w:p>
            <w:pPr>
              <w:widowControl w:val="0"/>
              <w:jc w:val="center"/>
              <w:rPr>
                <w:rFonts w:ascii="黑体" w:hAnsi="黑体" w:eastAsia="黑体" w:cs="黑体"/>
                <w:kern w:val="0"/>
                <w:sz w:val="22"/>
                <w:szCs w:val="22"/>
                <w:lang w:bidi="ar"/>
              </w:rPr>
            </w:pPr>
            <w:r>
              <w:rPr>
                <w:rFonts w:hint="eastAsia" w:ascii="黑体" w:hAnsi="黑体" w:eastAsia="黑体" w:cs="黑体"/>
                <w:kern w:val="0"/>
                <w:sz w:val="22"/>
                <w:szCs w:val="22"/>
                <w:lang w:bidi="ar"/>
              </w:rPr>
              <w:t>贡献度</w:t>
            </w:r>
          </w:p>
        </w:tc>
        <w:tc>
          <w:tcPr>
            <w:tcW w:w="1843" w:type="dxa"/>
            <w:shd w:val="clear" w:color="auto" w:fill="D9E2F3" w:themeFill="accent5" w:themeFillTint="33"/>
            <w:vAlign w:val="center"/>
          </w:tcPr>
          <w:p>
            <w:pPr>
              <w:widowControl w:val="0"/>
              <w:jc w:val="center"/>
              <w:rPr>
                <w:sz w:val="22"/>
                <w:szCs w:val="22"/>
              </w:rPr>
            </w:pPr>
            <w:r>
              <w:rPr>
                <w:rFonts w:hint="eastAsia"/>
                <w:sz w:val="22"/>
                <w:szCs w:val="22"/>
              </w:rPr>
              <w:t>44.12％</w:t>
            </w:r>
          </w:p>
        </w:tc>
        <w:tc>
          <w:tcPr>
            <w:tcW w:w="1985" w:type="dxa"/>
            <w:shd w:val="clear" w:color="auto" w:fill="D9E2F3" w:themeFill="accent5" w:themeFillTint="33"/>
            <w:vAlign w:val="center"/>
          </w:tcPr>
          <w:p>
            <w:pPr>
              <w:widowControl w:val="0"/>
              <w:jc w:val="center"/>
              <w:rPr>
                <w:sz w:val="22"/>
                <w:szCs w:val="22"/>
              </w:rPr>
            </w:pPr>
            <w:r>
              <w:rPr>
                <w:rFonts w:hint="eastAsia"/>
                <w:sz w:val="22"/>
                <w:szCs w:val="22"/>
              </w:rPr>
              <w:t>41.67％</w:t>
            </w:r>
          </w:p>
        </w:tc>
        <w:tc>
          <w:tcPr>
            <w:tcW w:w="1842" w:type="dxa"/>
            <w:shd w:val="clear" w:color="auto" w:fill="D9E2F3" w:themeFill="accent5" w:themeFillTint="33"/>
            <w:vAlign w:val="center"/>
          </w:tcPr>
          <w:p>
            <w:pPr>
              <w:widowControl w:val="0"/>
              <w:jc w:val="center"/>
              <w:rPr>
                <w:sz w:val="22"/>
                <w:szCs w:val="22"/>
              </w:rPr>
            </w:pPr>
            <w:r>
              <w:rPr>
                <w:rFonts w:hint="eastAsia"/>
                <w:sz w:val="22"/>
                <w:szCs w:val="22"/>
              </w:rPr>
              <w:t>42.86％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shd w:val="clear" w:color="auto" w:fill="C5E0B3" w:themeFill="accent6" w:themeFillTint="66"/>
            <w:vAlign w:val="center"/>
          </w:tcPr>
          <w:p>
            <w:pPr>
              <w:widowControl w:val="0"/>
              <w:jc w:val="center"/>
              <w:rPr>
                <w:rFonts w:ascii="黑体" w:hAnsi="黑体" w:eastAsia="黑体" w:cs="黑体"/>
                <w:kern w:val="0"/>
                <w:sz w:val="22"/>
                <w:szCs w:val="22"/>
                <w:lang w:bidi="ar"/>
              </w:rPr>
            </w:pPr>
            <w:r>
              <w:rPr>
                <w:rFonts w:hint="eastAsia" w:ascii="黑体" w:hAnsi="黑体" w:eastAsia="黑体" w:cs="黑体"/>
                <w:kern w:val="0"/>
                <w:sz w:val="22"/>
                <w:szCs w:val="22"/>
                <w:lang w:bidi="ar"/>
              </w:rPr>
              <w:t>三等奖</w:t>
            </w:r>
          </w:p>
        </w:tc>
        <w:tc>
          <w:tcPr>
            <w:tcW w:w="1701" w:type="dxa"/>
            <w:shd w:val="clear" w:color="auto" w:fill="C5E0B3" w:themeFill="accent6" w:themeFillTint="66"/>
            <w:vAlign w:val="center"/>
          </w:tcPr>
          <w:p>
            <w:pPr>
              <w:widowControl w:val="0"/>
              <w:jc w:val="center"/>
              <w:rPr>
                <w:rFonts w:ascii="黑体" w:hAnsi="黑体" w:eastAsia="黑体" w:cs="黑体"/>
                <w:kern w:val="0"/>
                <w:sz w:val="22"/>
                <w:szCs w:val="22"/>
                <w:lang w:bidi="ar"/>
              </w:rPr>
            </w:pPr>
            <w:r>
              <w:rPr>
                <w:rFonts w:hint="eastAsia" w:ascii="黑体" w:hAnsi="黑体" w:eastAsia="黑体" w:cs="黑体"/>
                <w:kern w:val="0"/>
                <w:sz w:val="22"/>
                <w:szCs w:val="22"/>
                <w:lang w:bidi="ar"/>
              </w:rPr>
              <w:t>郑州市</w:t>
            </w:r>
          </w:p>
        </w:tc>
        <w:tc>
          <w:tcPr>
            <w:tcW w:w="1843" w:type="dxa"/>
            <w:shd w:val="clear" w:color="auto" w:fill="C5E0B3" w:themeFill="accent6" w:themeFillTint="66"/>
            <w:vAlign w:val="center"/>
          </w:tcPr>
          <w:p>
            <w:pPr>
              <w:widowControl w:val="0"/>
              <w:jc w:val="center"/>
              <w:rPr>
                <w:sz w:val="22"/>
                <w:szCs w:val="22"/>
              </w:rPr>
            </w:pPr>
            <w:r>
              <w:rPr>
                <w:rFonts w:hint="eastAsia"/>
                <w:sz w:val="22"/>
                <w:szCs w:val="22"/>
              </w:rPr>
              <w:t>12</w:t>
            </w:r>
          </w:p>
        </w:tc>
        <w:tc>
          <w:tcPr>
            <w:tcW w:w="1985" w:type="dxa"/>
            <w:shd w:val="clear" w:color="auto" w:fill="C5E0B3" w:themeFill="accent6" w:themeFillTint="66"/>
            <w:vAlign w:val="center"/>
          </w:tcPr>
          <w:p>
            <w:pPr>
              <w:widowControl w:val="0"/>
              <w:jc w:val="center"/>
              <w:rPr>
                <w:sz w:val="22"/>
                <w:szCs w:val="22"/>
              </w:rPr>
            </w:pPr>
            <w:r>
              <w:rPr>
                <w:rFonts w:hint="eastAsia"/>
                <w:sz w:val="22"/>
                <w:szCs w:val="22"/>
              </w:rPr>
              <w:t>18</w:t>
            </w:r>
          </w:p>
        </w:tc>
        <w:tc>
          <w:tcPr>
            <w:tcW w:w="1842" w:type="dxa"/>
            <w:shd w:val="clear" w:color="auto" w:fill="C5E0B3" w:themeFill="accent6" w:themeFillTint="66"/>
            <w:vAlign w:val="center"/>
          </w:tcPr>
          <w:p>
            <w:pPr>
              <w:widowControl w:val="0"/>
              <w:jc w:val="center"/>
              <w:rPr>
                <w:sz w:val="22"/>
                <w:szCs w:val="22"/>
              </w:rPr>
            </w:pPr>
            <w:r>
              <w:rPr>
                <w:rFonts w:hint="eastAsia"/>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shd w:val="clear" w:color="auto" w:fill="C5E0B3" w:themeFill="accent6" w:themeFillTint="66"/>
            <w:vAlign w:val="center"/>
          </w:tcPr>
          <w:p>
            <w:pPr>
              <w:widowControl w:val="0"/>
              <w:jc w:val="center"/>
              <w:rPr>
                <w:rFonts w:ascii="黑体" w:hAnsi="黑体" w:eastAsia="黑体" w:cs="黑体"/>
                <w:kern w:val="0"/>
                <w:sz w:val="22"/>
                <w:szCs w:val="22"/>
                <w:lang w:bidi="ar"/>
              </w:rPr>
            </w:pPr>
          </w:p>
        </w:tc>
        <w:tc>
          <w:tcPr>
            <w:tcW w:w="1701" w:type="dxa"/>
            <w:shd w:val="clear" w:color="auto" w:fill="C5E0B3" w:themeFill="accent6" w:themeFillTint="66"/>
            <w:vAlign w:val="center"/>
          </w:tcPr>
          <w:p>
            <w:pPr>
              <w:widowControl w:val="0"/>
              <w:jc w:val="center"/>
              <w:rPr>
                <w:rFonts w:ascii="黑体" w:hAnsi="黑体" w:eastAsia="黑体" w:cs="黑体"/>
                <w:kern w:val="0"/>
                <w:sz w:val="22"/>
                <w:szCs w:val="22"/>
                <w:lang w:bidi="ar"/>
              </w:rPr>
            </w:pPr>
            <w:r>
              <w:rPr>
                <w:rFonts w:hint="eastAsia" w:ascii="黑体" w:hAnsi="黑体" w:eastAsia="黑体" w:cs="黑体"/>
                <w:kern w:val="0"/>
                <w:sz w:val="22"/>
                <w:szCs w:val="22"/>
                <w:lang w:bidi="ar"/>
              </w:rPr>
              <w:t>河南省</w:t>
            </w:r>
          </w:p>
        </w:tc>
        <w:tc>
          <w:tcPr>
            <w:tcW w:w="1843" w:type="dxa"/>
            <w:shd w:val="clear" w:color="auto" w:fill="C5E0B3" w:themeFill="accent6" w:themeFillTint="66"/>
            <w:vAlign w:val="center"/>
          </w:tcPr>
          <w:p>
            <w:pPr>
              <w:widowControl w:val="0"/>
              <w:jc w:val="center"/>
              <w:rPr>
                <w:sz w:val="22"/>
                <w:szCs w:val="22"/>
              </w:rPr>
            </w:pPr>
            <w:r>
              <w:rPr>
                <w:rFonts w:hint="eastAsia"/>
                <w:sz w:val="22"/>
                <w:szCs w:val="22"/>
              </w:rPr>
              <w:t>44</w:t>
            </w:r>
          </w:p>
        </w:tc>
        <w:tc>
          <w:tcPr>
            <w:tcW w:w="1985" w:type="dxa"/>
            <w:shd w:val="clear" w:color="auto" w:fill="C5E0B3" w:themeFill="accent6" w:themeFillTint="66"/>
            <w:vAlign w:val="center"/>
          </w:tcPr>
          <w:p>
            <w:pPr>
              <w:widowControl w:val="0"/>
              <w:jc w:val="center"/>
              <w:rPr>
                <w:sz w:val="22"/>
                <w:szCs w:val="22"/>
              </w:rPr>
            </w:pPr>
            <w:r>
              <w:rPr>
                <w:rFonts w:hint="eastAsia"/>
                <w:sz w:val="22"/>
                <w:szCs w:val="22"/>
              </w:rPr>
              <w:t>50</w:t>
            </w:r>
          </w:p>
        </w:tc>
        <w:tc>
          <w:tcPr>
            <w:tcW w:w="1842" w:type="dxa"/>
            <w:shd w:val="clear" w:color="auto" w:fill="C5E0B3" w:themeFill="accent6" w:themeFillTint="66"/>
            <w:vAlign w:val="center"/>
          </w:tcPr>
          <w:p>
            <w:pPr>
              <w:widowControl w:val="0"/>
              <w:jc w:val="center"/>
              <w:rPr>
                <w:sz w:val="22"/>
                <w:szCs w:val="22"/>
              </w:rPr>
            </w:pPr>
            <w:r>
              <w:rPr>
                <w:rFonts w:hint="eastAsia"/>
                <w:sz w:val="22"/>
                <w:szCs w:val="22"/>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3" w:type="dxa"/>
            <w:gridSpan w:val="2"/>
            <w:shd w:val="clear" w:color="auto" w:fill="D9E2F3" w:themeFill="accent5" w:themeFillTint="33"/>
            <w:vAlign w:val="center"/>
          </w:tcPr>
          <w:p>
            <w:pPr>
              <w:widowControl w:val="0"/>
              <w:jc w:val="center"/>
              <w:rPr>
                <w:rFonts w:ascii="黑体" w:hAnsi="黑体" w:eastAsia="黑体" w:cs="黑体"/>
                <w:kern w:val="0"/>
                <w:sz w:val="22"/>
                <w:szCs w:val="22"/>
                <w:lang w:bidi="ar"/>
              </w:rPr>
            </w:pPr>
            <w:r>
              <w:rPr>
                <w:rFonts w:hint="eastAsia" w:ascii="黑体" w:hAnsi="黑体" w:eastAsia="黑体" w:cs="黑体"/>
                <w:kern w:val="0"/>
                <w:sz w:val="22"/>
                <w:szCs w:val="22"/>
                <w:lang w:bidi="ar"/>
              </w:rPr>
              <w:t>贡献度</w:t>
            </w:r>
          </w:p>
        </w:tc>
        <w:tc>
          <w:tcPr>
            <w:tcW w:w="1843" w:type="dxa"/>
            <w:shd w:val="clear" w:color="auto" w:fill="D9E2F3" w:themeFill="accent5" w:themeFillTint="33"/>
            <w:vAlign w:val="center"/>
          </w:tcPr>
          <w:p>
            <w:pPr>
              <w:widowControl w:val="0"/>
              <w:jc w:val="center"/>
              <w:rPr>
                <w:sz w:val="22"/>
                <w:szCs w:val="22"/>
              </w:rPr>
            </w:pPr>
            <w:r>
              <w:rPr>
                <w:rFonts w:hint="eastAsia"/>
                <w:sz w:val="22"/>
                <w:szCs w:val="22"/>
              </w:rPr>
              <w:t>27.27％</w:t>
            </w:r>
          </w:p>
        </w:tc>
        <w:tc>
          <w:tcPr>
            <w:tcW w:w="1985" w:type="dxa"/>
            <w:shd w:val="clear" w:color="auto" w:fill="D9E2F3" w:themeFill="accent5" w:themeFillTint="33"/>
            <w:vAlign w:val="center"/>
          </w:tcPr>
          <w:p>
            <w:pPr>
              <w:widowControl w:val="0"/>
              <w:jc w:val="center"/>
              <w:rPr>
                <w:sz w:val="22"/>
                <w:szCs w:val="22"/>
              </w:rPr>
            </w:pPr>
            <w:r>
              <w:rPr>
                <w:rFonts w:hint="eastAsia"/>
                <w:sz w:val="22"/>
                <w:szCs w:val="22"/>
              </w:rPr>
              <w:t>36.00％</w:t>
            </w:r>
          </w:p>
        </w:tc>
        <w:tc>
          <w:tcPr>
            <w:tcW w:w="1842" w:type="dxa"/>
            <w:shd w:val="clear" w:color="auto" w:fill="D9E2F3" w:themeFill="accent5" w:themeFillTint="33"/>
            <w:vAlign w:val="center"/>
          </w:tcPr>
          <w:p>
            <w:pPr>
              <w:widowControl w:val="0"/>
              <w:jc w:val="center"/>
              <w:rPr>
                <w:sz w:val="22"/>
                <w:szCs w:val="22"/>
              </w:rPr>
            </w:pPr>
            <w:r>
              <w:rPr>
                <w:rFonts w:hint="eastAsia"/>
                <w:sz w:val="22"/>
                <w:szCs w:val="22"/>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shd w:val="clear" w:color="auto" w:fill="C5E0B3" w:themeFill="accent6" w:themeFillTint="66"/>
            <w:vAlign w:val="center"/>
          </w:tcPr>
          <w:p>
            <w:pPr>
              <w:widowControl w:val="0"/>
              <w:jc w:val="center"/>
              <w:rPr>
                <w:rFonts w:ascii="黑体" w:hAnsi="黑体" w:eastAsia="黑体" w:cs="黑体"/>
                <w:kern w:val="0"/>
                <w:sz w:val="22"/>
                <w:szCs w:val="22"/>
                <w:lang w:bidi="ar"/>
              </w:rPr>
            </w:pPr>
            <w:r>
              <w:rPr>
                <w:rFonts w:hint="eastAsia" w:ascii="黑体" w:hAnsi="黑体" w:eastAsia="黑体" w:cs="黑体"/>
                <w:kern w:val="0"/>
                <w:sz w:val="22"/>
                <w:szCs w:val="22"/>
                <w:lang w:bidi="ar"/>
              </w:rPr>
              <w:t>奖牌总数</w:t>
            </w:r>
          </w:p>
        </w:tc>
        <w:tc>
          <w:tcPr>
            <w:tcW w:w="1701" w:type="dxa"/>
            <w:shd w:val="clear" w:color="auto" w:fill="C5E0B3" w:themeFill="accent6" w:themeFillTint="66"/>
            <w:vAlign w:val="center"/>
          </w:tcPr>
          <w:p>
            <w:pPr>
              <w:widowControl w:val="0"/>
              <w:jc w:val="center"/>
              <w:rPr>
                <w:rFonts w:ascii="黑体" w:hAnsi="黑体" w:eastAsia="黑体" w:cs="黑体"/>
                <w:kern w:val="0"/>
                <w:sz w:val="22"/>
                <w:szCs w:val="22"/>
                <w:lang w:bidi="ar"/>
              </w:rPr>
            </w:pPr>
            <w:r>
              <w:rPr>
                <w:rFonts w:hint="eastAsia" w:ascii="黑体" w:hAnsi="黑体" w:eastAsia="黑体" w:cs="黑体"/>
                <w:kern w:val="0"/>
                <w:sz w:val="22"/>
                <w:szCs w:val="22"/>
                <w:lang w:bidi="ar"/>
              </w:rPr>
              <w:t>郑州市</w:t>
            </w:r>
          </w:p>
        </w:tc>
        <w:tc>
          <w:tcPr>
            <w:tcW w:w="1843" w:type="dxa"/>
            <w:shd w:val="clear" w:color="auto" w:fill="C5E0B3" w:themeFill="accent6" w:themeFillTint="66"/>
            <w:vAlign w:val="center"/>
          </w:tcPr>
          <w:p>
            <w:pPr>
              <w:widowControl w:val="0"/>
              <w:jc w:val="center"/>
              <w:rPr>
                <w:sz w:val="22"/>
                <w:szCs w:val="22"/>
              </w:rPr>
            </w:pPr>
            <w:r>
              <w:rPr>
                <w:rFonts w:hint="eastAsia"/>
                <w:sz w:val="22"/>
                <w:szCs w:val="22"/>
              </w:rPr>
              <w:t>34</w:t>
            </w:r>
          </w:p>
        </w:tc>
        <w:tc>
          <w:tcPr>
            <w:tcW w:w="1985" w:type="dxa"/>
            <w:shd w:val="clear" w:color="auto" w:fill="C5E0B3" w:themeFill="accent6" w:themeFillTint="66"/>
            <w:vAlign w:val="center"/>
          </w:tcPr>
          <w:p>
            <w:pPr>
              <w:widowControl w:val="0"/>
              <w:jc w:val="center"/>
              <w:rPr>
                <w:sz w:val="22"/>
                <w:szCs w:val="22"/>
              </w:rPr>
            </w:pPr>
            <w:r>
              <w:rPr>
                <w:rFonts w:hint="eastAsia"/>
                <w:sz w:val="22"/>
                <w:szCs w:val="22"/>
              </w:rPr>
              <w:t>42</w:t>
            </w:r>
          </w:p>
        </w:tc>
        <w:tc>
          <w:tcPr>
            <w:tcW w:w="1842" w:type="dxa"/>
            <w:shd w:val="clear" w:color="auto" w:fill="C5E0B3" w:themeFill="accent6" w:themeFillTint="66"/>
            <w:vAlign w:val="center"/>
          </w:tcPr>
          <w:p>
            <w:pPr>
              <w:widowControl w:val="0"/>
              <w:jc w:val="center"/>
              <w:rPr>
                <w:sz w:val="22"/>
                <w:szCs w:val="22"/>
              </w:rPr>
            </w:pPr>
            <w:r>
              <w:rPr>
                <w:rFonts w:hint="eastAsia"/>
                <w:sz w:val="22"/>
                <w:szCs w:val="22"/>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shd w:val="clear" w:color="auto" w:fill="C5E0B3" w:themeFill="accent6" w:themeFillTint="66"/>
            <w:vAlign w:val="center"/>
          </w:tcPr>
          <w:p>
            <w:pPr>
              <w:widowControl w:val="0"/>
              <w:jc w:val="center"/>
              <w:rPr>
                <w:rFonts w:ascii="黑体" w:hAnsi="黑体" w:eastAsia="黑体" w:cs="黑体"/>
                <w:kern w:val="0"/>
                <w:sz w:val="22"/>
                <w:szCs w:val="22"/>
                <w:lang w:bidi="ar"/>
              </w:rPr>
            </w:pPr>
          </w:p>
        </w:tc>
        <w:tc>
          <w:tcPr>
            <w:tcW w:w="1701" w:type="dxa"/>
            <w:shd w:val="clear" w:color="auto" w:fill="C5E0B3" w:themeFill="accent6" w:themeFillTint="66"/>
            <w:vAlign w:val="center"/>
          </w:tcPr>
          <w:p>
            <w:pPr>
              <w:widowControl w:val="0"/>
              <w:jc w:val="center"/>
              <w:rPr>
                <w:rFonts w:ascii="黑体" w:hAnsi="黑体" w:eastAsia="黑体" w:cs="黑体"/>
                <w:kern w:val="0"/>
                <w:sz w:val="22"/>
                <w:szCs w:val="22"/>
                <w:lang w:bidi="ar"/>
              </w:rPr>
            </w:pPr>
            <w:r>
              <w:rPr>
                <w:rFonts w:hint="eastAsia" w:ascii="黑体" w:hAnsi="黑体" w:eastAsia="黑体" w:cs="黑体"/>
                <w:kern w:val="0"/>
                <w:sz w:val="22"/>
                <w:szCs w:val="22"/>
                <w:lang w:bidi="ar"/>
              </w:rPr>
              <w:t>河南省</w:t>
            </w:r>
          </w:p>
        </w:tc>
        <w:tc>
          <w:tcPr>
            <w:tcW w:w="1843" w:type="dxa"/>
            <w:shd w:val="clear" w:color="auto" w:fill="C5E0B3" w:themeFill="accent6" w:themeFillTint="66"/>
            <w:vAlign w:val="center"/>
          </w:tcPr>
          <w:p>
            <w:pPr>
              <w:widowControl w:val="0"/>
              <w:jc w:val="center"/>
              <w:rPr>
                <w:sz w:val="22"/>
                <w:szCs w:val="22"/>
              </w:rPr>
            </w:pPr>
            <w:r>
              <w:rPr>
                <w:rFonts w:hint="eastAsia"/>
                <w:sz w:val="22"/>
                <w:szCs w:val="22"/>
              </w:rPr>
              <w:t>90</w:t>
            </w:r>
          </w:p>
        </w:tc>
        <w:tc>
          <w:tcPr>
            <w:tcW w:w="1985" w:type="dxa"/>
            <w:shd w:val="clear" w:color="auto" w:fill="C5E0B3" w:themeFill="accent6" w:themeFillTint="66"/>
            <w:vAlign w:val="center"/>
          </w:tcPr>
          <w:p>
            <w:pPr>
              <w:widowControl w:val="0"/>
              <w:jc w:val="center"/>
              <w:rPr>
                <w:sz w:val="22"/>
                <w:szCs w:val="22"/>
              </w:rPr>
            </w:pPr>
            <w:r>
              <w:rPr>
                <w:rFonts w:hint="eastAsia"/>
                <w:sz w:val="22"/>
                <w:szCs w:val="22"/>
              </w:rPr>
              <w:t>103</w:t>
            </w:r>
          </w:p>
        </w:tc>
        <w:tc>
          <w:tcPr>
            <w:tcW w:w="1842" w:type="dxa"/>
            <w:shd w:val="clear" w:color="auto" w:fill="C5E0B3" w:themeFill="accent6" w:themeFillTint="66"/>
            <w:vAlign w:val="center"/>
          </w:tcPr>
          <w:p>
            <w:pPr>
              <w:widowControl w:val="0"/>
              <w:jc w:val="center"/>
              <w:rPr>
                <w:sz w:val="22"/>
                <w:szCs w:val="22"/>
              </w:rPr>
            </w:pPr>
            <w:r>
              <w:rPr>
                <w:rFonts w:hint="eastAsia"/>
                <w:sz w:val="22"/>
                <w:szCs w:val="22"/>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3" w:type="dxa"/>
            <w:gridSpan w:val="2"/>
            <w:shd w:val="clear" w:color="auto" w:fill="D9E2F3" w:themeFill="accent5" w:themeFillTint="33"/>
            <w:vAlign w:val="center"/>
          </w:tcPr>
          <w:p>
            <w:pPr>
              <w:widowControl w:val="0"/>
              <w:jc w:val="center"/>
              <w:rPr>
                <w:rFonts w:ascii="黑体" w:hAnsi="黑体" w:eastAsia="黑体" w:cs="黑体"/>
                <w:kern w:val="0"/>
                <w:sz w:val="22"/>
                <w:szCs w:val="22"/>
                <w:lang w:bidi="ar"/>
              </w:rPr>
            </w:pPr>
            <w:r>
              <w:rPr>
                <w:rFonts w:hint="eastAsia" w:ascii="黑体" w:hAnsi="黑体" w:eastAsia="黑体" w:cs="黑体"/>
                <w:kern w:val="0"/>
                <w:sz w:val="22"/>
                <w:szCs w:val="22"/>
                <w:lang w:bidi="ar"/>
              </w:rPr>
              <w:t>奖牌总数贡献度</w:t>
            </w:r>
          </w:p>
        </w:tc>
        <w:tc>
          <w:tcPr>
            <w:tcW w:w="1843" w:type="dxa"/>
            <w:shd w:val="clear" w:color="auto" w:fill="D9E2F3" w:themeFill="accent5" w:themeFillTint="33"/>
            <w:vAlign w:val="center"/>
          </w:tcPr>
          <w:p>
            <w:pPr>
              <w:widowControl w:val="0"/>
              <w:jc w:val="center"/>
              <w:rPr>
                <w:sz w:val="22"/>
                <w:szCs w:val="22"/>
              </w:rPr>
            </w:pPr>
            <w:r>
              <w:rPr>
                <w:rFonts w:hint="eastAsia"/>
                <w:sz w:val="22"/>
                <w:szCs w:val="22"/>
              </w:rPr>
              <w:t>37.78％</w:t>
            </w:r>
          </w:p>
        </w:tc>
        <w:tc>
          <w:tcPr>
            <w:tcW w:w="1985" w:type="dxa"/>
            <w:shd w:val="clear" w:color="auto" w:fill="D9E2F3" w:themeFill="accent5" w:themeFillTint="33"/>
            <w:vAlign w:val="center"/>
          </w:tcPr>
          <w:p>
            <w:pPr>
              <w:widowControl w:val="0"/>
              <w:jc w:val="center"/>
              <w:rPr>
                <w:sz w:val="22"/>
                <w:szCs w:val="22"/>
              </w:rPr>
            </w:pPr>
            <w:r>
              <w:rPr>
                <w:rFonts w:hint="eastAsia"/>
                <w:sz w:val="22"/>
                <w:szCs w:val="22"/>
              </w:rPr>
              <w:t>40.78％</w:t>
            </w:r>
          </w:p>
        </w:tc>
        <w:tc>
          <w:tcPr>
            <w:tcW w:w="1842" w:type="dxa"/>
            <w:shd w:val="clear" w:color="auto" w:fill="D9E2F3" w:themeFill="accent5" w:themeFillTint="33"/>
            <w:vAlign w:val="center"/>
          </w:tcPr>
          <w:p>
            <w:pPr>
              <w:widowControl w:val="0"/>
              <w:jc w:val="center"/>
              <w:rPr>
                <w:sz w:val="22"/>
                <w:szCs w:val="22"/>
              </w:rPr>
            </w:pPr>
            <w:r>
              <w:rPr>
                <w:rFonts w:hint="eastAsia"/>
                <w:sz w:val="22"/>
                <w:szCs w:val="22"/>
              </w:rPr>
              <w:t>40.00％</w:t>
            </w:r>
          </w:p>
        </w:tc>
      </w:tr>
    </w:tbl>
    <w:p>
      <w:pPr>
        <w:widowControl w:val="0"/>
        <w:rPr>
          <w:rFonts w:ascii="楷体" w:hAnsi="楷体" w:eastAsia="楷体" w:cs="楷体"/>
          <w:b/>
          <w:bCs/>
          <w:sz w:val="32"/>
          <w:szCs w:val="32"/>
        </w:rPr>
      </w:pPr>
    </w:p>
    <w:p>
      <w:pPr>
        <w:widowControl w:val="0"/>
        <w:ind w:firstLine="643" w:firstLineChars="200"/>
        <w:rPr>
          <w:rFonts w:ascii="楷体" w:hAnsi="楷体" w:eastAsia="楷体" w:cs="楷体"/>
          <w:b/>
          <w:bCs/>
          <w:sz w:val="32"/>
          <w:szCs w:val="32"/>
        </w:rPr>
      </w:pPr>
      <w:r>
        <w:rPr>
          <w:rFonts w:hint="eastAsia" w:ascii="楷体" w:hAnsi="楷体" w:eastAsia="楷体" w:cs="楷体"/>
          <w:b/>
          <w:bCs/>
          <w:sz w:val="32"/>
          <w:szCs w:val="32"/>
        </w:rPr>
        <w:t>3.3教师培养培训情况</w:t>
      </w:r>
      <w:bookmarkEnd w:id="59"/>
      <w:bookmarkEnd w:id="60"/>
      <w:bookmarkEnd w:id="61"/>
    </w:p>
    <w:p>
      <w:pPr>
        <w:ind w:firstLine="643"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b/>
          <w:sz w:val="32"/>
          <w:szCs w:val="32"/>
          <w:shd w:val="clear" w:color="auto" w:fill="FFFFFF"/>
        </w:rPr>
        <w:t>完善教师补充机制。</w:t>
      </w:r>
      <w:r>
        <w:rPr>
          <w:rFonts w:hint="eastAsia" w:ascii="仿宋_GB2312" w:hAnsi="仿宋_GB2312" w:eastAsia="仿宋_GB2312" w:cs="仿宋_GB2312"/>
          <w:sz w:val="32"/>
          <w:szCs w:val="32"/>
          <w:shd w:val="clear" w:color="auto" w:fill="FFFFFF"/>
        </w:rPr>
        <w:t>郑州市不断扩大中职学校聘任教师自主权，积极支持各中职学校通过公开招聘、人才引进等方式招聘人才，补充教师编制，充实教师队伍。在 2016年市政府出台的的《关于加快发展现代职业教育的实施意见》，明确提出“实施特聘专业兼职教师资助计划，以政府购买服务的方式，资助中职学校在编制总数的30%以内用于面向企事业单位动态聘请高技能人才和能工巧匠担任兼职教师。”2020年市政府拟定《郑州市职业教育改革实施方案》，在公示稿中提出要“扩大职业院校聘任教师的自主权，以政府购买服务的方式，用相当于</w:t>
      </w:r>
      <w:r>
        <w:rPr>
          <w:rFonts w:ascii="仿宋_GB2312" w:hAnsi="仿宋_GB2312" w:eastAsia="仿宋_GB2312" w:cs="仿宋_GB2312"/>
          <w:sz w:val="32"/>
          <w:szCs w:val="32"/>
          <w:shd w:val="clear" w:color="auto" w:fill="FFFFFF"/>
        </w:rPr>
        <w:t>公办职业</w:t>
      </w:r>
      <w:r>
        <w:rPr>
          <w:rFonts w:hint="eastAsia" w:ascii="仿宋_GB2312" w:hAnsi="仿宋_GB2312" w:eastAsia="仿宋_GB2312" w:cs="仿宋_GB2312"/>
          <w:sz w:val="32"/>
          <w:szCs w:val="32"/>
          <w:shd w:val="clear" w:color="auto" w:fill="FFFFFF"/>
        </w:rPr>
        <w:t>院</w:t>
      </w:r>
      <w:r>
        <w:rPr>
          <w:rFonts w:ascii="仿宋_GB2312" w:hAnsi="仿宋_GB2312" w:eastAsia="仿宋_GB2312" w:cs="仿宋_GB2312"/>
          <w:sz w:val="32"/>
          <w:szCs w:val="32"/>
          <w:shd w:val="clear" w:color="auto" w:fill="FFFFFF"/>
        </w:rPr>
        <w:t>校</w:t>
      </w:r>
      <w:r>
        <w:rPr>
          <w:rFonts w:hint="eastAsia" w:ascii="仿宋_GB2312" w:hAnsi="仿宋_GB2312" w:eastAsia="仿宋_GB2312" w:cs="仿宋_GB2312"/>
          <w:sz w:val="32"/>
          <w:szCs w:val="32"/>
          <w:shd w:val="clear" w:color="auto" w:fill="FFFFFF"/>
        </w:rPr>
        <w:t>30%</w:t>
      </w:r>
      <w:r>
        <w:rPr>
          <w:rFonts w:ascii="仿宋_GB2312" w:hAnsi="仿宋_GB2312" w:eastAsia="仿宋_GB2312" w:cs="仿宋_GB2312"/>
          <w:sz w:val="32"/>
          <w:szCs w:val="32"/>
          <w:shd w:val="clear" w:color="auto" w:fill="FFFFFF"/>
        </w:rPr>
        <w:t>的教职工编制聘请行业企业高技能人才担任</w:t>
      </w:r>
      <w:r>
        <w:rPr>
          <w:rFonts w:hint="eastAsia" w:ascii="仿宋_GB2312" w:hAnsi="仿宋_GB2312" w:eastAsia="仿宋_GB2312" w:cs="仿宋_GB2312"/>
          <w:sz w:val="32"/>
          <w:szCs w:val="32"/>
          <w:shd w:val="clear" w:color="auto" w:fill="FFFFFF"/>
        </w:rPr>
        <w:t>专业课</w:t>
      </w:r>
      <w:r>
        <w:rPr>
          <w:rFonts w:ascii="仿宋_GB2312" w:hAnsi="仿宋_GB2312" w:eastAsia="仿宋_GB2312" w:cs="仿宋_GB2312"/>
          <w:sz w:val="32"/>
          <w:szCs w:val="32"/>
          <w:shd w:val="clear" w:color="auto" w:fill="FFFFFF"/>
        </w:rPr>
        <w:t>教师</w:t>
      </w:r>
      <w:r>
        <w:rPr>
          <w:rFonts w:hint="eastAsia" w:ascii="仿宋_GB2312" w:hAnsi="仿宋_GB2312" w:eastAsia="仿宋_GB2312" w:cs="仿宋_GB2312"/>
          <w:sz w:val="32"/>
          <w:szCs w:val="32"/>
          <w:shd w:val="clear" w:color="auto" w:fill="FFFFFF"/>
        </w:rPr>
        <w:t>。”。</w:t>
      </w:r>
    </w:p>
    <w:p>
      <w:pPr>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强化教师培养培训。</w:t>
      </w:r>
      <w:r>
        <w:rPr>
          <w:rFonts w:hint="eastAsia" w:ascii="仿宋_GB2312" w:hAnsi="仿宋_GB2312" w:eastAsia="仿宋_GB2312" w:cs="仿宋_GB2312"/>
          <w:b/>
          <w:bCs/>
          <w:sz w:val="32"/>
          <w:szCs w:val="32"/>
        </w:rPr>
        <w:t>一是</w:t>
      </w:r>
      <w:r>
        <w:rPr>
          <w:rFonts w:hint="eastAsia" w:ascii="仿宋_GB2312" w:hAnsi="仿宋_GB2312" w:eastAsia="仿宋_GB2312" w:cs="仿宋_GB2312"/>
          <w:sz w:val="32"/>
          <w:szCs w:val="32"/>
        </w:rPr>
        <w:t>围绕“双师型”教师队伍建设，组织400余名教师参加省级“双师型”教师培训，聘请182名高技能人才和能工巧匠担任兼职教师，选派102名专业课教师到企业进行实践，极大提升了“双师型”教师队伍的能力水平。</w:t>
      </w:r>
      <w:r>
        <w:rPr>
          <w:rFonts w:hint="eastAsia" w:ascii="仿宋_GB2312" w:hAnsi="仿宋_GB2312" w:eastAsia="仿宋_GB2312" w:cs="仿宋_GB2312"/>
          <w:b/>
          <w:spacing w:val="8"/>
          <w:sz w:val="32"/>
          <w:szCs w:val="32"/>
          <w:shd w:val="clear" w:color="auto" w:fill="FFFFFF"/>
        </w:rPr>
        <w:t>二是</w:t>
      </w:r>
      <w:r>
        <w:rPr>
          <w:rFonts w:hint="eastAsia" w:ascii="仿宋_GB2312" w:hAnsi="仿宋_GB2312" w:eastAsia="仿宋_GB2312" w:cs="仿宋_GB2312"/>
          <w:spacing w:val="8"/>
          <w:sz w:val="32"/>
          <w:szCs w:val="32"/>
          <w:shd w:val="clear" w:color="auto" w:fill="FFFFFF"/>
        </w:rPr>
        <w:t>开展市级中职学校优质课复评验收工作，127名教师参加了复评，并推荐出107名参加省级评选。</w:t>
      </w:r>
      <w:r>
        <w:rPr>
          <w:rFonts w:hint="eastAsia" w:ascii="仿宋_GB2312" w:hAnsi="仿宋_GB2312" w:eastAsia="仿宋_GB2312" w:cs="仿宋_GB2312"/>
          <w:b/>
          <w:bCs/>
          <w:spacing w:val="8"/>
          <w:sz w:val="32"/>
          <w:szCs w:val="32"/>
          <w:shd w:val="clear" w:color="auto" w:fill="FFFFFF"/>
        </w:rPr>
        <w:t>三是</w:t>
      </w:r>
      <w:r>
        <w:rPr>
          <w:rFonts w:hint="eastAsia" w:ascii="仿宋_GB2312" w:hAnsi="仿宋_GB2312" w:eastAsia="仿宋_GB2312" w:cs="仿宋_GB2312"/>
          <w:spacing w:val="8"/>
          <w:sz w:val="32"/>
          <w:szCs w:val="32"/>
          <w:shd w:val="clear" w:color="auto" w:fill="FFFFFF"/>
        </w:rPr>
        <w:t>科学有序推进疫情防控常态化下的国培和省培工作。通过多方努力，在保障安全的前提下，全年共进行线下和线上国家级和省级培训1635人次、省级“双师型”教师培训44人、省级特聘兼职教师岗位22个、市级培训144人。</w:t>
      </w:r>
    </w:p>
    <w:p>
      <w:pPr>
        <w:jc w:val="center"/>
        <w:rPr>
          <w:rFonts w:ascii="黑体" w:hAnsi="黑体" w:eastAsia="黑体" w:cs="黑体"/>
          <w:sz w:val="36"/>
          <w:szCs w:val="36"/>
        </w:rPr>
      </w:pPr>
    </w:p>
    <w:p>
      <w:pPr>
        <w:numPr>
          <w:ilvl w:val="0"/>
          <w:numId w:val="2"/>
        </w:numPr>
        <w:jc w:val="center"/>
        <w:rPr>
          <w:rFonts w:ascii="黑体" w:hAnsi="黑体" w:eastAsia="黑体" w:cs="黑体"/>
          <w:sz w:val="36"/>
          <w:szCs w:val="36"/>
        </w:rPr>
      </w:pPr>
      <w:r>
        <w:rPr>
          <w:rFonts w:hint="eastAsia" w:ascii="黑体" w:hAnsi="黑体" w:eastAsia="黑体" w:cs="黑体"/>
          <w:sz w:val="36"/>
          <w:szCs w:val="36"/>
        </w:rPr>
        <w:t xml:space="preserve"> </w:t>
      </w:r>
      <w:bookmarkStart w:id="62" w:name="_Toc18456"/>
      <w:bookmarkStart w:id="63" w:name="_Toc3780_WPSOffice_Level1"/>
      <w:bookmarkStart w:id="64" w:name="_Toc22898_WPSOffice_Level1"/>
      <w:r>
        <w:rPr>
          <w:rFonts w:hint="eastAsia" w:ascii="黑体" w:hAnsi="黑体" w:eastAsia="黑体" w:cs="黑体"/>
          <w:sz w:val="36"/>
          <w:szCs w:val="36"/>
        </w:rPr>
        <w:t>校企合作</w:t>
      </w:r>
      <w:bookmarkEnd w:id="62"/>
      <w:bookmarkEnd w:id="63"/>
      <w:bookmarkEnd w:id="64"/>
      <w:bookmarkStart w:id="65" w:name="_Toc116"/>
    </w:p>
    <w:p>
      <w:pPr>
        <w:ind w:firstLine="643" w:firstLineChars="200"/>
        <w:rPr>
          <w:rFonts w:ascii="楷体" w:hAnsi="楷体" w:eastAsia="楷体" w:cs="楷体"/>
          <w:b/>
          <w:bCs/>
          <w:sz w:val="32"/>
          <w:szCs w:val="32"/>
        </w:rPr>
      </w:pPr>
      <w:bookmarkStart w:id="66" w:name="_Toc25413_WPSOffice_Level2"/>
      <w:bookmarkStart w:id="67" w:name="_Toc10333_WPSOffice_Level2"/>
      <w:r>
        <w:rPr>
          <w:rFonts w:hint="eastAsia" w:ascii="楷体" w:hAnsi="楷体" w:eastAsia="楷体" w:cs="楷体"/>
          <w:b/>
          <w:bCs/>
          <w:sz w:val="32"/>
          <w:szCs w:val="32"/>
        </w:rPr>
        <w:t>4.1校企合作开展情况</w:t>
      </w:r>
      <w:bookmarkEnd w:id="65"/>
      <w:r>
        <w:rPr>
          <w:rFonts w:hint="eastAsia" w:ascii="楷体" w:hAnsi="楷体" w:eastAsia="楷体" w:cs="楷体"/>
          <w:b/>
          <w:bCs/>
          <w:sz w:val="32"/>
          <w:szCs w:val="32"/>
        </w:rPr>
        <w:t>和效果</w:t>
      </w:r>
      <w:bookmarkEnd w:id="66"/>
      <w:bookmarkEnd w:id="67"/>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郑州市依托现代学徒制试点、1+X证书制度试点等项目，积极发挥已成立的10个行业职业教育教学指导委员会行业指导作用，积极开展校企合作。对接现代产业体系，围绕职业和岗位对技能人才的实践需求，深入探索学校和企业双主体办学模式，大力推行工学结合、校企一体化育人模式，共确立17个现代学徒制试点单位和1个现代学校制度试点单位。</w:t>
      </w:r>
    </w:p>
    <w:p>
      <w:pPr>
        <w:ind w:firstLine="643" w:firstLineChars="200"/>
        <w:rPr>
          <w:rFonts w:ascii="仿宋" w:hAnsi="仿宋" w:eastAsia="仿宋" w:cs="仿宋"/>
          <w:sz w:val="32"/>
          <w:szCs w:val="32"/>
        </w:rPr>
      </w:pPr>
      <w:r>
        <w:rPr>
          <w:rFonts w:hint="eastAsia" w:ascii="仿宋_GB2312" w:hAnsi="仿宋_GB2312" w:eastAsia="仿宋_GB2312" w:cs="仿宋_GB2312"/>
          <w:b/>
          <w:sz w:val="32"/>
          <w:szCs w:val="32"/>
        </w:rPr>
        <w:t>1+X证书制度试点工作稳步推进。</w:t>
      </w:r>
      <w:r>
        <w:rPr>
          <w:rFonts w:hint="eastAsia" w:ascii="仿宋" w:hAnsi="仿宋" w:eastAsia="仿宋" w:cs="仿宋"/>
          <w:sz w:val="32"/>
          <w:szCs w:val="32"/>
        </w:rPr>
        <w:t>目前，我市中职学校已申报并经省厅批准设立了三批、增补了两批试点，共有20所学校参与了49个证书制度的试点。今年，我市20所试点学校申报证书总数80个，专业总数37个。各试点学校均按照社会评价组织的安排，对接职业技能等级标准进行课程设置、教学内容的调整，并组织学生参加了相关培训，全年共有11143名学生参与证书培训。</w:t>
      </w:r>
    </w:p>
    <w:p>
      <w:pPr>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现代学徒制试点工作卓见成效。</w:t>
      </w:r>
      <w:r>
        <w:rPr>
          <w:rFonts w:hint="eastAsia" w:ascii="仿宋_GB2312" w:hAnsi="仿宋_GB2312" w:eastAsia="仿宋_GB2312" w:cs="仿宋_GB2312"/>
          <w:sz w:val="32"/>
          <w:szCs w:val="32"/>
        </w:rPr>
        <w:t>17所试点学校工作开展顺利，通过积极与企业对接，推进“企中校”“校中厂”建设，构建“课堂+车间、作品+产品、工作室+生产线”的“产学商一体化”人才培养模式，人才培养质量不断提高。</w:t>
      </w:r>
    </w:p>
    <w:p>
      <w:pPr>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积极发挥行指委的指导作用。</w:t>
      </w:r>
      <w:r>
        <w:rPr>
          <w:rFonts w:hint="eastAsia" w:ascii="仿宋_GB2312" w:hAnsi="仿宋_GB2312" w:eastAsia="仿宋_GB2312" w:cs="仿宋_GB2312"/>
          <w:sz w:val="32"/>
          <w:szCs w:val="32"/>
        </w:rPr>
        <w:t>已成立的10个行指委，各秘书长单位按照工作安排，认真梳理工作总结，制定年度工作计划，高质量开展了形式多样的校企交流活动。通过调查研究、组织学习讨论、安排师生进企业进行见习交流，加强了与行业、企业的联系，充分发挥了行业、企业对加强行业对职业教育的指导。</w:t>
      </w:r>
    </w:p>
    <w:p>
      <w:pPr>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持续推进京东电子商务实训基地建设。</w:t>
      </w:r>
      <w:r>
        <w:rPr>
          <w:rFonts w:hint="eastAsia" w:ascii="仿宋_GB2312" w:hAnsi="仿宋_GB2312" w:eastAsia="仿宋_GB2312" w:cs="仿宋_GB2312"/>
          <w:sz w:val="32"/>
          <w:szCs w:val="32"/>
        </w:rPr>
        <w:t>京东集团是我市中等职业教育重点打造的电子商务专业实训基地，国防科技学校、商贸管理学校与京东集团在专业课程建设、“双师型”教师培训、校企协同育人等领域开展多种形式的合作，提升了学校的教育教学质量。</w:t>
      </w:r>
      <w:bookmarkStart w:id="68" w:name="_Toc6379"/>
    </w:p>
    <w:p>
      <w:pPr>
        <w:widowControl w:val="0"/>
        <w:ind w:firstLine="643" w:firstLineChars="200"/>
        <w:rPr>
          <w:rFonts w:ascii="楷体" w:hAnsi="楷体" w:eastAsia="楷体" w:cs="楷体"/>
          <w:b/>
          <w:bCs/>
          <w:sz w:val="32"/>
          <w:szCs w:val="32"/>
        </w:rPr>
      </w:pPr>
      <w:bookmarkStart w:id="69" w:name="_Toc31751_WPSOffice_Level2"/>
      <w:bookmarkStart w:id="70" w:name="_Toc23079_WPSOffice_Level2"/>
      <w:r>
        <w:rPr>
          <w:rFonts w:hint="eastAsia" w:ascii="楷体" w:hAnsi="楷体" w:eastAsia="楷体" w:cs="楷体"/>
          <w:b/>
          <w:bCs/>
          <w:sz w:val="32"/>
          <w:szCs w:val="32"/>
        </w:rPr>
        <w:t>4.2学生实习情况</w:t>
      </w:r>
      <w:bookmarkEnd w:id="68"/>
      <w:bookmarkEnd w:id="69"/>
      <w:bookmarkEnd w:id="70"/>
    </w:p>
    <w:p>
      <w:pPr>
        <w:widowControl w:val="0"/>
        <w:ind w:firstLine="640" w:firstLineChars="200"/>
        <w:rPr>
          <w:rFonts w:ascii="仿宋" w:hAnsi="仿宋" w:eastAsia="仿宋" w:cs="仿宋"/>
          <w:kern w:val="0"/>
          <w:sz w:val="32"/>
          <w:szCs w:val="32"/>
        </w:rPr>
      </w:pPr>
      <w:r>
        <w:rPr>
          <w:rFonts w:hint="eastAsia" w:ascii="仿宋" w:hAnsi="仿宋" w:eastAsia="仿宋" w:cs="仿宋"/>
          <w:kern w:val="0"/>
          <w:sz w:val="32"/>
          <w:szCs w:val="32"/>
        </w:rPr>
        <w:t>学生顶岗实习</w:t>
      </w:r>
      <w:r>
        <w:rPr>
          <w:rFonts w:hint="eastAsia" w:ascii="仿宋" w:hAnsi="仿宋" w:eastAsia="仿宋" w:cs="仿宋"/>
          <w:kern w:val="0"/>
          <w:sz w:val="32"/>
          <w:szCs w:val="32"/>
          <w:lang w:val="zh-CN"/>
        </w:rPr>
        <w:t>是</w:t>
      </w:r>
      <w:r>
        <w:rPr>
          <w:rFonts w:hint="eastAsia" w:ascii="仿宋" w:hAnsi="仿宋" w:eastAsia="仿宋" w:cs="仿宋"/>
          <w:kern w:val="0"/>
          <w:sz w:val="32"/>
          <w:szCs w:val="32"/>
        </w:rPr>
        <w:t>中职学</w:t>
      </w:r>
      <w:r>
        <w:rPr>
          <w:rFonts w:hint="eastAsia" w:ascii="仿宋" w:hAnsi="仿宋" w:eastAsia="仿宋" w:cs="仿宋"/>
          <w:kern w:val="0"/>
          <w:sz w:val="32"/>
          <w:szCs w:val="32"/>
          <w:lang w:val="zh-CN"/>
        </w:rPr>
        <w:t>校教学计划的重要组成部分，</w:t>
      </w:r>
      <w:r>
        <w:rPr>
          <w:rFonts w:hint="eastAsia" w:ascii="仿宋" w:hAnsi="仿宋" w:eastAsia="仿宋" w:cs="仿宋"/>
          <w:kern w:val="0"/>
          <w:sz w:val="32"/>
          <w:szCs w:val="32"/>
        </w:rPr>
        <w:t>也</w:t>
      </w:r>
      <w:r>
        <w:rPr>
          <w:rFonts w:hint="eastAsia" w:ascii="仿宋" w:hAnsi="仿宋" w:eastAsia="仿宋" w:cs="仿宋"/>
          <w:kern w:val="0"/>
          <w:sz w:val="32"/>
          <w:szCs w:val="32"/>
          <w:lang w:val="zh-CN"/>
        </w:rPr>
        <w:t>是培养学生</w:t>
      </w:r>
      <w:r>
        <w:rPr>
          <w:rFonts w:hint="eastAsia" w:ascii="仿宋" w:hAnsi="仿宋" w:eastAsia="仿宋" w:cs="仿宋"/>
          <w:kern w:val="0"/>
          <w:sz w:val="32"/>
          <w:szCs w:val="32"/>
        </w:rPr>
        <w:t>动手</w:t>
      </w:r>
      <w:r>
        <w:rPr>
          <w:rFonts w:hint="eastAsia" w:ascii="仿宋" w:hAnsi="仿宋" w:eastAsia="仿宋" w:cs="仿宋"/>
          <w:kern w:val="0"/>
          <w:sz w:val="32"/>
          <w:szCs w:val="32"/>
          <w:lang w:val="zh-CN"/>
        </w:rPr>
        <w:t>实践能力、</w:t>
      </w:r>
      <w:r>
        <w:rPr>
          <w:rFonts w:hint="eastAsia" w:ascii="仿宋" w:hAnsi="仿宋" w:eastAsia="仿宋" w:cs="仿宋"/>
          <w:kern w:val="0"/>
          <w:sz w:val="32"/>
          <w:szCs w:val="32"/>
        </w:rPr>
        <w:t>团队协作</w:t>
      </w:r>
      <w:r>
        <w:rPr>
          <w:rFonts w:hint="eastAsia" w:ascii="仿宋" w:hAnsi="仿宋" w:eastAsia="仿宋" w:cs="仿宋"/>
          <w:kern w:val="0"/>
          <w:sz w:val="32"/>
          <w:szCs w:val="32"/>
          <w:lang w:val="zh-CN"/>
        </w:rPr>
        <w:t>能力、解决问题能力、适应社会能力的重要环节</w:t>
      </w:r>
      <w:r>
        <w:rPr>
          <w:rFonts w:hint="eastAsia" w:ascii="仿宋" w:hAnsi="仿宋" w:eastAsia="仿宋" w:cs="仿宋"/>
          <w:kern w:val="0"/>
          <w:sz w:val="32"/>
          <w:szCs w:val="32"/>
        </w:rPr>
        <w:t>和</w:t>
      </w:r>
      <w:r>
        <w:rPr>
          <w:rFonts w:hint="eastAsia" w:ascii="仿宋" w:hAnsi="仿宋" w:eastAsia="仿宋" w:cs="仿宋"/>
          <w:kern w:val="0"/>
          <w:sz w:val="32"/>
          <w:szCs w:val="32"/>
          <w:lang w:val="zh-CN"/>
        </w:rPr>
        <w:t>措施。</w:t>
      </w:r>
      <w:r>
        <w:rPr>
          <w:rFonts w:hint="eastAsia" w:ascii="仿宋" w:hAnsi="仿宋" w:eastAsia="仿宋" w:cs="仿宋"/>
          <w:kern w:val="0"/>
          <w:sz w:val="32"/>
          <w:szCs w:val="32"/>
        </w:rPr>
        <w:t>郑州市教育局高度重视此项工作，特别是疫情发生以来，以保障学生生命安全和身体健康为前提，加强各学校实习环节管理，</w:t>
      </w:r>
      <w:r>
        <w:rPr>
          <w:rFonts w:hint="eastAsia" w:ascii="仿宋" w:hAnsi="仿宋" w:eastAsia="仿宋" w:cs="仿宋"/>
          <w:kern w:val="0"/>
          <w:sz w:val="32"/>
          <w:szCs w:val="32"/>
          <w:lang w:val="zh-CN"/>
        </w:rPr>
        <w:t>严格按照教育部等五部门联合印发的关于《职业学校学生实习管理规定》的要求，坚持以提高学生实习质量为核心，以增强实习生</w:t>
      </w:r>
      <w:r>
        <w:rPr>
          <w:rFonts w:hint="eastAsia" w:ascii="仿宋" w:hAnsi="仿宋" w:eastAsia="仿宋" w:cs="仿宋"/>
          <w:kern w:val="0"/>
          <w:sz w:val="32"/>
          <w:szCs w:val="32"/>
        </w:rPr>
        <w:t>职业能力</w:t>
      </w:r>
      <w:r>
        <w:rPr>
          <w:rFonts w:hint="eastAsia" w:ascii="仿宋" w:hAnsi="仿宋" w:eastAsia="仿宋" w:cs="仿宋"/>
          <w:kern w:val="0"/>
          <w:sz w:val="32"/>
          <w:szCs w:val="32"/>
          <w:lang w:val="zh-CN"/>
        </w:rPr>
        <w:t>为重点，注重</w:t>
      </w:r>
      <w:r>
        <w:rPr>
          <w:rFonts w:hint="eastAsia" w:ascii="仿宋" w:hAnsi="仿宋" w:eastAsia="仿宋" w:cs="仿宋"/>
          <w:kern w:val="0"/>
          <w:sz w:val="32"/>
          <w:szCs w:val="32"/>
        </w:rPr>
        <w:t>学生</w:t>
      </w:r>
      <w:r>
        <w:rPr>
          <w:rFonts w:hint="eastAsia" w:ascii="仿宋" w:hAnsi="仿宋" w:eastAsia="仿宋" w:cs="仿宋"/>
          <w:kern w:val="0"/>
          <w:sz w:val="32"/>
          <w:szCs w:val="32"/>
          <w:lang w:val="zh-CN"/>
        </w:rPr>
        <w:t>实习工作的创新和实效，</w:t>
      </w:r>
      <w:r>
        <w:rPr>
          <w:rFonts w:hint="eastAsia" w:ascii="仿宋" w:hAnsi="仿宋" w:eastAsia="仿宋" w:cs="仿宋"/>
          <w:kern w:val="0"/>
          <w:sz w:val="32"/>
          <w:szCs w:val="32"/>
        </w:rPr>
        <w:t>要求各学校</w:t>
      </w:r>
      <w:r>
        <w:rPr>
          <w:rFonts w:hint="eastAsia" w:ascii="仿宋" w:hAnsi="仿宋" w:eastAsia="仿宋" w:cs="仿宋"/>
          <w:kern w:val="0"/>
          <w:sz w:val="32"/>
          <w:szCs w:val="32"/>
          <w:lang w:val="zh-CN"/>
        </w:rPr>
        <w:t>努力做好“加强实习指导、开拓实习市场、推进全面实习、开展跟踪调查”等重点工作，促进</w:t>
      </w:r>
      <w:r>
        <w:rPr>
          <w:rFonts w:hint="eastAsia" w:ascii="仿宋" w:hAnsi="仿宋" w:eastAsia="仿宋" w:cs="仿宋"/>
          <w:kern w:val="0"/>
          <w:sz w:val="32"/>
          <w:szCs w:val="32"/>
        </w:rPr>
        <w:t>各校</w:t>
      </w:r>
      <w:r>
        <w:rPr>
          <w:rFonts w:hint="eastAsia" w:ascii="仿宋" w:hAnsi="仿宋" w:eastAsia="仿宋" w:cs="仿宋"/>
          <w:kern w:val="0"/>
          <w:sz w:val="32"/>
          <w:szCs w:val="32"/>
          <w:lang w:val="zh-CN"/>
        </w:rPr>
        <w:t>圆满完成实习任务。</w:t>
      </w:r>
      <w:r>
        <w:rPr>
          <w:rFonts w:hint="eastAsia" w:ascii="仿宋" w:hAnsi="仿宋" w:eastAsia="仿宋" w:cs="仿宋"/>
          <w:kern w:val="0"/>
          <w:sz w:val="32"/>
          <w:szCs w:val="32"/>
        </w:rPr>
        <w:t>2020年，我市有33226名中职学生进入省内外共500余家用人单位顶岗实习。其中80%的学生在省内实习。根据疫情防控要求，部分学校学生实习暂停。</w:t>
      </w:r>
    </w:p>
    <w:p>
      <w:pPr>
        <w:widowControl w:val="0"/>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健全机构制度，规范实习流程。</w:t>
      </w:r>
      <w:r>
        <w:rPr>
          <w:rFonts w:hint="eastAsia" w:ascii="仿宋_GB2312" w:hAnsi="仿宋_GB2312" w:eastAsia="仿宋_GB2312" w:cs="仿宋_GB2312"/>
          <w:sz w:val="32"/>
          <w:szCs w:val="32"/>
        </w:rPr>
        <w:t>为进一步规范和指导学生实习就业指导工作，郑州成立了8个中职学生就业指导工作室，</w:t>
      </w:r>
      <w:r>
        <w:rPr>
          <w:rFonts w:hint="eastAsia" w:ascii="仿宋" w:hAnsi="仿宋" w:eastAsia="仿宋" w:cs="仿宋"/>
          <w:kern w:val="0"/>
          <w:sz w:val="32"/>
          <w:szCs w:val="32"/>
        </w:rPr>
        <w:t>各学校均成立了学生实习工作领导小组，</w:t>
      </w:r>
      <w:r>
        <w:rPr>
          <w:rFonts w:hint="eastAsia" w:ascii="仿宋_GB2312" w:hAnsi="仿宋_GB2312" w:eastAsia="仿宋_GB2312" w:cs="仿宋_GB2312"/>
          <w:sz w:val="32"/>
          <w:szCs w:val="32"/>
        </w:rPr>
        <w:t>积极开展就业指导人员培训工作，着力构建一支素质高、能力强、结构合理、规模稳定的就业指导教师队伍。</w:t>
      </w:r>
      <w:bookmarkStart w:id="71" w:name="_Toc17861"/>
    </w:p>
    <w:p>
      <w:pPr>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严格备案程序，做好疫情防控。</w:t>
      </w:r>
      <w:r>
        <w:rPr>
          <w:rFonts w:hint="eastAsia" w:ascii="仿宋" w:hAnsi="仿宋" w:eastAsia="仿宋" w:cs="仿宋"/>
          <w:kern w:val="0"/>
          <w:sz w:val="32"/>
          <w:szCs w:val="32"/>
        </w:rPr>
        <w:t>学生实习前各校均按要求对所有实习单位进行实地考察，确保实习企业合法合规，信誉良好，安全标准、安全生产规章制度和操作规程健全，并为所有学生购买实习期间的安全保险，同时向教育局做好实习备案。疫情防控期间，各学校选派经验丰富、业务素质好、责任心强、安全防范意识高的实习指导教师，配合实习单位的专门人员全程指导、共同管理疫情期间的学生实习工作。</w:t>
      </w:r>
    </w:p>
    <w:p>
      <w:pPr>
        <w:ind w:firstLine="643" w:firstLineChars="200"/>
        <w:rPr>
          <w:rFonts w:ascii="仿宋" w:hAnsi="仿宋" w:eastAsia="仿宋" w:cs="仿宋"/>
          <w:kern w:val="0"/>
          <w:sz w:val="32"/>
          <w:szCs w:val="32"/>
        </w:rPr>
      </w:pPr>
      <w:bookmarkStart w:id="72" w:name="_Toc7150_WPSOffice_Level2"/>
      <w:bookmarkStart w:id="73" w:name="_Toc22263_WPSOffice_Level2"/>
      <w:r>
        <w:rPr>
          <w:rFonts w:hint="eastAsia" w:ascii="仿宋" w:hAnsi="仿宋" w:eastAsia="仿宋" w:cs="楷体"/>
          <w:b/>
          <w:bCs/>
          <w:sz w:val="32"/>
          <w:szCs w:val="32"/>
        </w:rPr>
        <w:t>注重能力培养，突出实习成效。</w:t>
      </w:r>
      <w:r>
        <w:rPr>
          <w:rFonts w:hint="eastAsia" w:ascii="仿宋" w:hAnsi="仿宋" w:eastAsia="仿宋" w:cs="仿宋"/>
          <w:kern w:val="0"/>
          <w:sz w:val="32"/>
          <w:szCs w:val="32"/>
        </w:rPr>
        <w:t>指导中职学校开展系统的就业指导培训课程，以讲座、座谈等形式引导学生正确处理好求学与成才、求职的关系，解决好学生的实习难题。学生上岗前，安排至少一周的岗前培训，确保学生安全、依规进行实习工作。实习期间，结合实习企业对学生进行职业素养教育和培训，并对学生实习期间的工作问题进行专业指导，让学生有所收获，在实习中得到提升和成长。</w:t>
      </w:r>
    </w:p>
    <w:p>
      <w:pPr>
        <w:widowControl w:val="0"/>
        <w:ind w:firstLine="640"/>
        <w:rPr>
          <w:rFonts w:ascii="仿宋" w:hAnsi="仿宋" w:eastAsia="仿宋" w:cs="仿宋"/>
          <w:sz w:val="32"/>
          <w:szCs w:val="32"/>
        </w:rPr>
      </w:pPr>
      <w:r>
        <w:rPr>
          <w:rFonts w:hint="eastAsia" w:ascii="楷体" w:hAnsi="楷体" w:eastAsia="楷体" w:cs="楷体"/>
          <w:b/>
          <w:bCs/>
          <w:sz w:val="32"/>
          <w:szCs w:val="32"/>
        </w:rPr>
        <w:t>4.3职业教育集团化办学情况</w:t>
      </w:r>
      <w:bookmarkEnd w:id="71"/>
      <w:bookmarkEnd w:id="72"/>
      <w:bookmarkEnd w:id="73"/>
    </w:p>
    <w:p>
      <w:pPr>
        <w:widowControl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紧贴郑州区域经济社会发展和国家中心城市建设需求，本着资源共优势互补、共同发展，按照成熟一个、挂牌一个的原则，郑州市逐步组建一支以政府为主导、以学校为主体、以行业和研究院为依托的专业化程度高、特色鲜明的各类现代服务职教集团。目前，由郑州市职业院校牵头成立的职业教育集团共有5个，职教集团通过加强产教结合、校企合作、校校联合，优化资源配置，形成资源汇聚、互利互赢的发展优势，大大提高了自身适应市场的竞争力。2004年依托郑州旅游职业学院成立了河南省旅游职业教育集团，成员单位95个；2014年依托郑州市国防科技学校成立了郑州汽车运用工程职业教育集团，成员单位24个；2016年依托郑州工程技术学院成立了郑州市高端装备制造业教育集团，成员单位45个；2017年，依托郑州幼儿师范高等专科学校成立郑州市学前教育集团，成员单位600个；依托郑州财税金融职业学院成立了河南省电子商务职业教育集团，成员单位103个。</w:t>
      </w:r>
    </w:p>
    <w:p>
      <w:pPr>
        <w:widowControl w:val="0"/>
        <w:jc w:val="center"/>
        <w:rPr>
          <w:rFonts w:ascii="黑体" w:hAnsi="黑体" w:eastAsia="黑体" w:cs="黑体"/>
          <w:sz w:val="36"/>
          <w:szCs w:val="36"/>
        </w:rPr>
      </w:pPr>
      <w:bookmarkStart w:id="74" w:name="_Toc23943"/>
    </w:p>
    <w:p>
      <w:pPr>
        <w:widowControl w:val="0"/>
        <w:jc w:val="center"/>
        <w:rPr>
          <w:rFonts w:ascii="楷体" w:hAnsi="楷体" w:eastAsia="楷体" w:cs="楷体"/>
          <w:b/>
          <w:bCs/>
          <w:sz w:val="32"/>
          <w:szCs w:val="32"/>
        </w:rPr>
      </w:pPr>
      <w:bookmarkStart w:id="75" w:name="_Toc30206_WPSOffice_Level1"/>
      <w:bookmarkStart w:id="76" w:name="_Toc27472_WPSOffice_Level1"/>
      <w:r>
        <w:rPr>
          <w:rFonts w:hint="eastAsia" w:ascii="黑体" w:hAnsi="黑体" w:eastAsia="黑体" w:cs="黑体"/>
          <w:sz w:val="36"/>
          <w:szCs w:val="36"/>
        </w:rPr>
        <w:t>第五部分  社会贡献</w:t>
      </w:r>
      <w:bookmarkEnd w:id="74"/>
      <w:bookmarkEnd w:id="75"/>
      <w:bookmarkEnd w:id="76"/>
      <w:bookmarkStart w:id="77" w:name="_Toc23890_WPSOffice_Level2"/>
      <w:bookmarkStart w:id="78" w:name="_Toc21624_WPSOffice_Level2"/>
      <w:bookmarkStart w:id="79" w:name="_Toc8190"/>
    </w:p>
    <w:p>
      <w:pPr>
        <w:widowControl w:val="0"/>
        <w:ind w:firstLine="643" w:firstLineChars="200"/>
        <w:rPr>
          <w:rFonts w:ascii="楷体" w:hAnsi="楷体" w:eastAsia="楷体" w:cs="楷体"/>
          <w:b/>
          <w:bCs/>
          <w:sz w:val="32"/>
          <w:szCs w:val="32"/>
        </w:rPr>
      </w:pPr>
      <w:r>
        <w:rPr>
          <w:rFonts w:hint="eastAsia" w:ascii="楷体" w:hAnsi="楷体" w:eastAsia="楷体" w:cs="楷体"/>
          <w:b/>
          <w:bCs/>
          <w:sz w:val="32"/>
          <w:szCs w:val="32"/>
        </w:rPr>
        <w:t>5.1技术技能人才培养</w:t>
      </w:r>
      <w:bookmarkEnd w:id="77"/>
      <w:bookmarkEnd w:id="78"/>
      <w:bookmarkEnd w:id="79"/>
    </w:p>
    <w:p>
      <w:pPr>
        <w:adjustRightInd w:val="0"/>
        <w:snapToGrid w:val="0"/>
        <w:spacing w:line="600" w:lineRule="exact"/>
        <w:ind w:firstLine="640" w:firstLineChars="200"/>
        <w:rPr>
          <w:rFonts w:ascii="仿宋_GB2312" w:hAnsi="仿宋_GB2312" w:eastAsia="仿宋_GB2312" w:cs="仿宋_GB2312"/>
          <w:bCs/>
          <w:kern w:val="0"/>
          <w:sz w:val="32"/>
          <w:szCs w:val="32"/>
        </w:rPr>
      </w:pPr>
      <w:r>
        <w:rPr>
          <w:rFonts w:hint="eastAsia" w:ascii="仿宋_GB2312" w:hAnsi="仿宋_GB2312" w:eastAsia="仿宋_GB2312" w:cs="仿宋_GB2312"/>
          <w:bCs/>
          <w:kern w:val="0"/>
          <w:sz w:val="32"/>
          <w:szCs w:val="32"/>
        </w:rPr>
        <w:t>当前，郑州正处于经济转型升级的关键期，全市启动实施高质量发展制造业，大力推进产业基础高级化、产业链现代化、产业体系数字化，以制造业高质量发展带动传统产业升级改造，着力打造更高水平的高质量发展区域增长极。郑州市中等职业教育以立德树人为根本，以服务发展为宗旨，以促进就业为导向，紧密契合郑州产业结构调整，不断向重点产业领域输送大批高素质技术技能型人才，为郑州国家中心城市建设提供强有力的人才支撑。</w:t>
      </w:r>
      <w:r>
        <w:rPr>
          <w:rFonts w:hint="eastAsia" w:ascii="仿宋_GB2312" w:hAnsi="仿宋_GB2312" w:eastAsia="仿宋_GB2312" w:cs="仿宋_GB2312"/>
          <w:sz w:val="32"/>
          <w:szCs w:val="32"/>
        </w:rPr>
        <w:t>连续5年，我市中职毕业生就业率始终稳定地保持在95%以上，2020年度就业率达到97.5%。通过对用人单位的抽样调查，非常满意的比例为62.50%，满意的占比31.25%，比较满意的占比6.25%，不满意或无法评估的占比为0。从就业地域分布来看，郑州市中等职业学校75%的毕业生在当地就业，绝大多数毕业生到中小微企业等基层服务，郑州市中职教育服务本地经济社会发展的能力逐步增强。</w:t>
      </w:r>
      <w:bookmarkStart w:id="80" w:name="_Toc19796"/>
    </w:p>
    <w:p>
      <w:pPr>
        <w:widowControl w:val="0"/>
        <w:ind w:firstLine="643" w:firstLineChars="200"/>
        <w:rPr>
          <w:rFonts w:ascii="楷体" w:hAnsi="楷体" w:eastAsia="楷体" w:cs="楷体"/>
          <w:b/>
          <w:bCs/>
          <w:sz w:val="32"/>
          <w:szCs w:val="32"/>
        </w:rPr>
      </w:pPr>
      <w:bookmarkStart w:id="81" w:name="_Toc12366_WPSOffice_Level2"/>
      <w:bookmarkStart w:id="82" w:name="_Toc26442_WPSOffice_Level2"/>
    </w:p>
    <w:p>
      <w:pPr>
        <w:widowControl w:val="0"/>
        <w:ind w:firstLine="643" w:firstLineChars="200"/>
        <w:rPr>
          <w:rFonts w:ascii="楷体" w:hAnsi="楷体" w:eastAsia="楷体" w:cs="楷体"/>
          <w:b/>
          <w:bCs/>
          <w:sz w:val="32"/>
          <w:szCs w:val="32"/>
        </w:rPr>
      </w:pPr>
      <w:r>
        <w:rPr>
          <w:rFonts w:hint="eastAsia" w:ascii="楷体" w:hAnsi="楷体" w:eastAsia="楷体" w:cs="楷体"/>
          <w:b/>
          <w:bCs/>
          <w:sz w:val="32"/>
          <w:szCs w:val="32"/>
        </w:rPr>
        <w:t>5.2社会服务</w:t>
      </w:r>
      <w:bookmarkEnd w:id="80"/>
      <w:bookmarkEnd w:id="81"/>
      <w:bookmarkEnd w:id="82"/>
    </w:p>
    <w:p>
      <w:pPr>
        <w:ind w:firstLine="643"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b/>
          <w:sz w:val="32"/>
          <w:szCs w:val="32"/>
        </w:rPr>
        <w:t>提供职业技能培训服务。</w:t>
      </w:r>
      <w:r>
        <w:rPr>
          <w:rFonts w:hint="eastAsia" w:ascii="仿宋_GB2312" w:hAnsi="仿宋_GB2312" w:eastAsia="仿宋_GB2312" w:cs="仿宋_GB2312"/>
          <w:kern w:val="0"/>
          <w:sz w:val="32"/>
          <w:szCs w:val="32"/>
          <w:lang w:bidi="ar"/>
        </w:rPr>
        <w:t>利用中职学校专业优势，统筹各</w:t>
      </w:r>
      <w:r>
        <w:rPr>
          <w:rFonts w:hint="eastAsia" w:ascii="仿宋_GB2312" w:hAnsi="仿宋_GB2312" w:eastAsia="仿宋_GB2312" w:cs="仿宋_GB2312"/>
          <w:kern w:val="0"/>
          <w:sz w:val="32"/>
          <w:szCs w:val="32"/>
        </w:rPr>
        <w:t>县（市）职业学校、成人学校（社区学校）</w:t>
      </w:r>
      <w:r>
        <w:rPr>
          <w:rFonts w:hint="eastAsia" w:ascii="仿宋_GB2312" w:hAnsi="仿宋_GB2312" w:eastAsia="仿宋_GB2312" w:cs="仿宋_GB2312"/>
          <w:kern w:val="0"/>
          <w:sz w:val="32"/>
          <w:szCs w:val="32"/>
          <w:lang w:bidi="ar"/>
        </w:rPr>
        <w:t>等培训资源，不断加大对贫困群众的职业技能培训力度，实现劳动力转移。面向社会职前、职中、职后培训，提高培训人员的职业技能和就业能力。</w:t>
      </w:r>
      <w:r>
        <w:rPr>
          <w:rFonts w:hint="eastAsia" w:ascii="仿宋" w:hAnsi="仿宋" w:eastAsia="仿宋" w:cs="仿宋"/>
          <w:kern w:val="0"/>
          <w:sz w:val="32"/>
          <w:szCs w:val="32"/>
          <w:lang w:bidi="ar"/>
        </w:rPr>
        <w:t>2020年，郑州市共开展农民教育培训104期，培训当地居民32869人次，培训农民工11330余人次，促进在就业创业450人。最为突出的巩义市，</w:t>
      </w:r>
      <w:r>
        <w:rPr>
          <w:rFonts w:hint="eastAsia" w:ascii="仿宋" w:hAnsi="仿宋" w:eastAsia="仿宋" w:cs="仿宋"/>
          <w:sz w:val="32"/>
          <w:szCs w:val="32"/>
        </w:rPr>
        <w:t>米河镇社区教育实验基地该基地投入15万元，建10亩葡萄园，所产生的收益全部用来帮助扶持米河镇无劳动能力的贫困户。鲁庄镇南村社区教学点的“乡村画院”，倡导“文化强村、艺术致富”，培养了本村180多名农民画师。近年来创收70多万元，农民画师靠牡丹绘画个人年创收最高达5万余元。</w:t>
      </w:r>
      <w:r>
        <w:rPr>
          <w:rFonts w:hint="eastAsia" w:ascii="仿宋" w:hAnsi="仿宋" w:eastAsia="仿宋" w:cs="仿宋"/>
          <w:kern w:val="0"/>
          <w:sz w:val="32"/>
          <w:szCs w:val="32"/>
          <w:lang w:bidi="ar"/>
        </w:rPr>
        <w:t>通过这些培训，使农民真正得到实惠，掌握一技之长，实现增收致富。</w:t>
      </w:r>
    </w:p>
    <w:p>
      <w:pPr>
        <w:pStyle w:val="21"/>
        <w:widowControl w:val="0"/>
        <w:ind w:firstLine="643"/>
        <w:rPr>
          <w:rFonts w:ascii="仿宋_GB2312" w:hAnsi="仿宋_GB2312" w:eastAsia="仿宋_GB2312" w:cs="仿宋_GB2312"/>
          <w:sz w:val="32"/>
          <w:szCs w:val="32"/>
        </w:rPr>
      </w:pPr>
      <w:r>
        <w:rPr>
          <w:rFonts w:hint="eastAsia" w:ascii="仿宋_GB2312" w:hAnsi="仿宋_GB2312" w:eastAsia="仿宋_GB2312" w:cs="仿宋_GB2312"/>
          <w:b/>
          <w:sz w:val="32"/>
          <w:szCs w:val="32"/>
        </w:rPr>
        <w:t>弘扬传承民族传统文化。</w:t>
      </w:r>
      <w:r>
        <w:rPr>
          <w:rFonts w:hint="eastAsia" w:ascii="仿宋_GB2312" w:hAnsi="仿宋_GB2312" w:eastAsia="仿宋_GB2312" w:cs="仿宋_GB2312"/>
          <w:sz w:val="32"/>
          <w:szCs w:val="32"/>
        </w:rPr>
        <w:t>郑州市依托教育资源和优势，支持中等职业学校建设一批凸显民族文化的特色专业，成为传承与创新民族文化的有效载体。</w:t>
      </w:r>
      <w:bookmarkStart w:id="83" w:name="_Toc29004"/>
      <w:r>
        <w:rPr>
          <w:rFonts w:hint="eastAsia" w:ascii="仿宋_GB2312" w:hAnsi="仿宋_GB2312" w:eastAsia="仿宋_GB2312" w:cs="仿宋_GB2312"/>
          <w:sz w:val="32"/>
          <w:szCs w:val="32"/>
        </w:rPr>
        <w:t>郑州市财贸学校的茶艺工作室，发扬与传承了中国茶文化，茶艺美学与表演艺术在学校落地生根，先后多次在省市级比赛中获得表彰。郑州艺术幼儿师范学校是非物质文化遗产木版年画、面塑的传承基地，扎染、烙画、皮雕、陶艺、装裱、剪纸等非遗项目各具特色，有效传承了非遗文化。</w:t>
      </w:r>
    </w:p>
    <w:p>
      <w:pPr>
        <w:widowControl w:val="0"/>
        <w:ind w:firstLine="3840" w:firstLineChars="1200"/>
        <w:rPr>
          <w:rFonts w:ascii="楷体" w:hAnsi="楷体" w:eastAsia="楷体" w:cs="仿宋_GB2312"/>
          <w:sz w:val="32"/>
          <w:szCs w:val="32"/>
        </w:rPr>
      </w:pPr>
      <w:r>
        <w:rPr>
          <w:rFonts w:hint="eastAsia" w:ascii="楷体" w:hAnsi="楷体" w:eastAsia="楷体" w:cs="仿宋_GB2312"/>
          <w:sz w:val="32"/>
          <w:szCs w:val="32"/>
        </w:rPr>
        <w:t>茶  艺</w:t>
      </w:r>
    </w:p>
    <w:p/>
    <w:p>
      <w:pPr>
        <w:widowControl w:val="0"/>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2615565" cy="1742440"/>
            <wp:effectExtent l="0" t="0" r="0" b="0"/>
            <wp:docPr id="11" name="图片 11" descr="C:\Users\lenovo\Desktop\DSC_63863da37b452cbb123c.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lenovo\Desktop\DSC_63863da37b452cbb123c.m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614455" cy="1741809"/>
                    </a:xfrm>
                    <a:prstGeom prst="rect">
                      <a:avLst/>
                    </a:prstGeom>
                    <a:noFill/>
                    <a:ln>
                      <a:noFill/>
                    </a:ln>
                  </pic:spPr>
                </pic:pic>
              </a:graphicData>
            </a:graphic>
          </wp:inline>
        </w:drawing>
      </w:r>
      <w:r>
        <w:rPr>
          <w:rFonts w:ascii="仿宋_GB2312" w:hAnsi="仿宋_GB2312" w:eastAsia="仿宋_GB2312" w:cs="仿宋_GB2312"/>
          <w:sz w:val="32"/>
          <w:szCs w:val="32"/>
        </w:rPr>
        <w:drawing>
          <wp:inline distT="0" distB="0" distL="0" distR="0">
            <wp:extent cx="2561590" cy="1732915"/>
            <wp:effectExtent l="0" t="0" r="0" b="635"/>
            <wp:docPr id="16" name="图片 16" descr="C:\Users\lenovo\Desktop\-24a5f36f19ad4232b.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lenovo\Desktop\-24a5f36f19ad4232b.m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559201" cy="1731472"/>
                    </a:xfrm>
                    <a:prstGeom prst="rect">
                      <a:avLst/>
                    </a:prstGeom>
                    <a:noFill/>
                    <a:ln>
                      <a:noFill/>
                    </a:ln>
                  </pic:spPr>
                </pic:pic>
              </a:graphicData>
            </a:graphic>
          </wp:inline>
        </w:drawing>
      </w:r>
      <w:r>
        <w:rPr>
          <w:rFonts w:hint="eastAsia" w:ascii="仿宋_GB2312" w:hAnsi="仿宋_GB2312" w:eastAsia="仿宋_GB2312" w:cs="仿宋_GB2312"/>
          <w:sz w:val="32"/>
          <w:szCs w:val="32"/>
        </w:rPr>
        <w:t xml:space="preserve"> </w:t>
      </w:r>
      <w:r>
        <w:rPr>
          <w:rFonts w:ascii="仿宋_GB2312" w:hAnsi="仿宋_GB2312" w:eastAsia="仿宋_GB2312" w:cs="仿宋_GB2312"/>
          <w:sz w:val="32"/>
          <w:szCs w:val="32"/>
        </w:rPr>
        <w:drawing>
          <wp:inline distT="0" distB="0" distL="0" distR="0">
            <wp:extent cx="2615565" cy="1701165"/>
            <wp:effectExtent l="0" t="0" r="0" b="0"/>
            <wp:docPr id="15" name="图片 15" descr="C:\Users\lenovo\Desktop\郑州市科技工业学校禅茶表演（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lenovo\Desktop\郑州市科技工业学校禅茶表演（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620902" cy="1704781"/>
                    </a:xfrm>
                    <a:prstGeom prst="rect">
                      <a:avLst/>
                    </a:prstGeom>
                    <a:noFill/>
                    <a:ln>
                      <a:noFill/>
                    </a:ln>
                  </pic:spPr>
                </pic:pic>
              </a:graphicData>
            </a:graphic>
          </wp:inline>
        </w:drawing>
      </w:r>
      <w:r>
        <w:rPr>
          <w:rFonts w:hint="eastAsia" w:ascii="仿宋_GB2312" w:hAnsi="仿宋_GB2312" w:eastAsia="仿宋_GB2312" w:cs="仿宋_GB2312"/>
          <w:sz w:val="32"/>
          <w:szCs w:val="32"/>
        </w:rPr>
        <w:t xml:space="preserve">  </w:t>
      </w:r>
      <w:r>
        <w:rPr>
          <w:rFonts w:ascii="仿宋_GB2312" w:hAnsi="仿宋_GB2312" w:eastAsia="仿宋_GB2312" w:cs="仿宋_GB2312"/>
          <w:sz w:val="32"/>
          <w:szCs w:val="32"/>
        </w:rPr>
        <w:drawing>
          <wp:inline distT="0" distB="0" distL="0" distR="0">
            <wp:extent cx="2512060" cy="1697990"/>
            <wp:effectExtent l="0" t="0" r="2540" b="0"/>
            <wp:docPr id="17" name="图片 17" descr="C:\Users\lenovo\Desktop\郑州市科技工业学校禅茶表演（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lenovo\Desktop\郑州市科技工业学校禅茶表演（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511095" cy="1697341"/>
                    </a:xfrm>
                    <a:prstGeom prst="rect">
                      <a:avLst/>
                    </a:prstGeom>
                    <a:noFill/>
                    <a:ln>
                      <a:noFill/>
                    </a:ln>
                  </pic:spPr>
                </pic:pic>
              </a:graphicData>
            </a:graphic>
          </wp:inline>
        </w:drawing>
      </w:r>
    </w:p>
    <w:p>
      <w:pPr>
        <w:pStyle w:val="21"/>
        <w:widowControl w:val="0"/>
        <w:ind w:firstLine="3680" w:firstLineChars="1150"/>
        <w:rPr>
          <w:rFonts w:ascii="楷体" w:hAnsi="楷体" w:eastAsia="楷体" w:cs="仿宋_GB2312"/>
          <w:sz w:val="32"/>
          <w:szCs w:val="32"/>
        </w:rPr>
      </w:pPr>
    </w:p>
    <w:p>
      <w:pPr>
        <w:pStyle w:val="21"/>
        <w:widowControl w:val="0"/>
        <w:ind w:firstLine="3680" w:firstLineChars="1150"/>
        <w:rPr>
          <w:rFonts w:ascii="楷体" w:hAnsi="楷体" w:eastAsia="楷体" w:cs="仿宋_GB2312"/>
          <w:sz w:val="32"/>
          <w:szCs w:val="32"/>
        </w:rPr>
      </w:pPr>
      <w:r>
        <w:rPr>
          <w:rFonts w:hint="eastAsia" w:ascii="楷体" w:hAnsi="楷体" w:eastAsia="楷体" w:cs="仿宋_GB2312"/>
          <w:sz w:val="32"/>
          <w:szCs w:val="32"/>
        </w:rPr>
        <w:t>烙   画</w:t>
      </w:r>
    </w:p>
    <w:p>
      <w:pPr>
        <w:widowControl w:val="0"/>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2643505" cy="1762760"/>
            <wp:effectExtent l="0" t="0" r="4445" b="8890"/>
            <wp:docPr id="18" name="图片 18" descr="E:\郑州市职业教育视频图片资料汇总\艺术工程学校\照片\各实训室分类照片\烙画实训室\烙画实训室内景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郑州市职业教育视频图片资料汇总\艺术工程学校\照片\各实训室分类照片\烙画实训室\烙画实训室内景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647631" cy="1765548"/>
                    </a:xfrm>
                    <a:prstGeom prst="rect">
                      <a:avLst/>
                    </a:prstGeom>
                    <a:noFill/>
                    <a:ln>
                      <a:noFill/>
                    </a:ln>
                  </pic:spPr>
                </pic:pic>
              </a:graphicData>
            </a:graphic>
          </wp:inline>
        </w:drawing>
      </w:r>
      <w:r>
        <w:rPr>
          <w:rFonts w:eastAsia="Times New Roman"/>
          <w:snapToGrid w:val="0"/>
          <w:color w:val="000000"/>
          <w:w w:val="0"/>
          <w:kern w:val="0"/>
          <w:sz w:val="0"/>
          <w:szCs w:val="0"/>
          <w:u w:color="000000"/>
          <w:shd w:val="clear" w:color="000000" w:fill="000000"/>
          <w:lang w:val="zh-CN" w:eastAsia="zh-CN" w:bidi="zh-CN"/>
        </w:rPr>
        <w:t xml:space="preserve"> </w:t>
      </w:r>
      <w:r>
        <w:rPr>
          <w:rFonts w:hint="eastAsia" w:ascii="仿宋_GB2312" w:hAnsi="仿宋_GB2312" w:eastAsia="仿宋_GB2312" w:cs="仿宋_GB2312"/>
          <w:sz w:val="32"/>
          <w:szCs w:val="32"/>
        </w:rPr>
        <w:t xml:space="preserve"> </w:t>
      </w:r>
      <w:r>
        <w:rPr>
          <w:rFonts w:ascii="仿宋_GB2312" w:hAnsi="仿宋_GB2312" w:eastAsia="仿宋_GB2312" w:cs="仿宋_GB2312"/>
          <w:sz w:val="32"/>
          <w:szCs w:val="32"/>
        </w:rPr>
        <w:drawing>
          <wp:inline distT="0" distB="0" distL="0" distR="0">
            <wp:extent cx="2587625" cy="1764665"/>
            <wp:effectExtent l="0" t="0" r="3175" b="6985"/>
            <wp:docPr id="19" name="图片 19" descr="E:\郑州市职业教育视频图片资料汇总\艺术工程学校\照片\各实训室分类照片\烙画实训室\IMG_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郑州市职业教育视频图片资料汇总\艺术工程学校\照片\各实训室分类照片\烙画实训室\IMG_005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98600" cy="1772354"/>
                    </a:xfrm>
                    <a:prstGeom prst="rect">
                      <a:avLst/>
                    </a:prstGeom>
                    <a:noFill/>
                    <a:ln>
                      <a:noFill/>
                    </a:ln>
                  </pic:spPr>
                </pic:pic>
              </a:graphicData>
            </a:graphic>
          </wp:inline>
        </w:drawing>
      </w:r>
    </w:p>
    <w:p>
      <w:pPr>
        <w:pStyle w:val="21"/>
        <w:widowControl w:val="0"/>
        <w:ind w:firstLine="3680" w:firstLineChars="1150"/>
        <w:rPr>
          <w:rFonts w:ascii="楷体" w:hAnsi="楷体" w:eastAsia="楷体" w:cs="仿宋_GB2312"/>
          <w:sz w:val="32"/>
          <w:szCs w:val="32"/>
        </w:rPr>
      </w:pPr>
    </w:p>
    <w:p>
      <w:pPr>
        <w:widowControl w:val="0"/>
        <w:jc w:val="center"/>
        <w:rPr>
          <w:rFonts w:ascii="楷体" w:hAnsi="楷体" w:eastAsia="楷体" w:cs="仿宋_GB2312"/>
          <w:sz w:val="32"/>
          <w:szCs w:val="32"/>
        </w:rPr>
      </w:pPr>
      <w:r>
        <w:rPr>
          <w:rFonts w:hint="eastAsia" w:ascii="楷体" w:hAnsi="楷体" w:eastAsia="楷体" w:cs="仿宋_GB2312"/>
          <w:sz w:val="32"/>
          <w:szCs w:val="32"/>
        </w:rPr>
        <w:t>版   画</w:t>
      </w:r>
    </w:p>
    <w:p>
      <w:pPr>
        <w:widowControl w:val="0"/>
        <w:rPr>
          <w:rFonts w:eastAsiaTheme="minorEastAsia"/>
          <w:color w:val="000000"/>
          <w:w w:val="0"/>
          <w:kern w:val="0"/>
          <w:sz w:val="0"/>
          <w:szCs w:val="0"/>
          <w:u w:color="000000"/>
          <w:shd w:val="clear" w:color="000000" w:fill="000000"/>
        </w:rPr>
      </w:pPr>
      <w:r>
        <w:rPr>
          <w:rFonts w:ascii="楷体" w:hAnsi="楷体" w:eastAsia="楷体" w:cs="仿宋_GB2312"/>
          <w:sz w:val="32"/>
          <w:szCs w:val="32"/>
        </w:rPr>
        <w:drawing>
          <wp:inline distT="0" distB="0" distL="0" distR="0">
            <wp:extent cx="2615565" cy="1743710"/>
            <wp:effectExtent l="0" t="0" r="0" b="8890"/>
            <wp:docPr id="20" name="图片 20" descr="E:\郑州市职业教育视频图片资料汇总\艺术工程学校\照片\各实训室分类照片\版画和木版年画实训室\我校被授予非物质文化遗产木版年画技艺传承基地（授牌仪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郑州市职业教育视频图片资料汇总\艺术工程学校\照片\各实训室分类照片\版画和木版年画实训室\我校被授予非物质文化遗产木版年画技艺传承基地（授牌仪式）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616034" cy="1744058"/>
                    </a:xfrm>
                    <a:prstGeom prst="rect">
                      <a:avLst/>
                    </a:prstGeom>
                    <a:noFill/>
                    <a:ln>
                      <a:noFill/>
                    </a:ln>
                  </pic:spPr>
                </pic:pic>
              </a:graphicData>
            </a:graphic>
          </wp:inline>
        </w:drawing>
      </w:r>
      <w:r>
        <w:rPr>
          <w:rFonts w:eastAsia="Times New Roman"/>
          <w:snapToGrid w:val="0"/>
          <w:color w:val="000000"/>
          <w:w w:val="0"/>
          <w:kern w:val="0"/>
          <w:sz w:val="0"/>
          <w:szCs w:val="0"/>
          <w:u w:color="000000"/>
          <w:shd w:val="clear" w:color="000000" w:fill="000000"/>
          <w:lang w:val="zh-CN" w:eastAsia="zh-CN" w:bidi="zh-CN"/>
        </w:rPr>
        <w:t xml:space="preserve"> </w:t>
      </w:r>
      <w:r>
        <w:rPr>
          <w:rFonts w:hint="eastAsia" w:eastAsiaTheme="minorEastAsia"/>
          <w:color w:val="000000"/>
          <w:w w:val="0"/>
          <w:kern w:val="0"/>
          <w:sz w:val="0"/>
          <w:szCs w:val="0"/>
          <w:u w:color="000000"/>
          <w:shd w:val="clear" w:color="000000" w:fill="000000"/>
        </w:rPr>
        <w:t xml:space="preserve">                      </w:t>
      </w:r>
      <w:r>
        <w:rPr>
          <w:rFonts w:eastAsia="Times New Roman"/>
          <w:color w:val="000000"/>
          <w:w w:val="0"/>
          <w:kern w:val="0"/>
          <w:sz w:val="0"/>
          <w:szCs w:val="0"/>
          <w:u w:color="000000"/>
          <w:shd w:val="clear" w:color="000000" w:fill="000000"/>
        </w:rPr>
        <w:drawing>
          <wp:inline distT="0" distB="0" distL="0" distR="0">
            <wp:extent cx="2539365" cy="1693545"/>
            <wp:effectExtent l="0" t="0" r="0" b="1905"/>
            <wp:docPr id="23" name="图片 23" descr="E:\郑州市职业教育视频图片资料汇总\艺术工程学校\照片\各实训室分类照片\版画和木版年画实训室\版画实训学生实训作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郑州市职业教育视频图片资料汇总\艺术工程学校\照片\各实训室分类照片\版画和木版年画实训室\版画实训学生实训作品.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40211" cy="1693916"/>
                    </a:xfrm>
                    <a:prstGeom prst="rect">
                      <a:avLst/>
                    </a:prstGeom>
                    <a:noFill/>
                    <a:ln>
                      <a:noFill/>
                    </a:ln>
                  </pic:spPr>
                </pic:pic>
              </a:graphicData>
            </a:graphic>
          </wp:inline>
        </w:drawing>
      </w:r>
    </w:p>
    <w:p>
      <w:pPr>
        <w:widowControl w:val="0"/>
        <w:ind w:firstLine="3680" w:firstLineChars="1150"/>
        <w:rPr>
          <w:rFonts w:ascii="楷体" w:hAnsi="楷体" w:eastAsia="楷体" w:cs="仿宋_GB2312"/>
          <w:sz w:val="32"/>
        </w:rPr>
      </w:pPr>
    </w:p>
    <w:p>
      <w:pPr>
        <w:widowControl w:val="0"/>
        <w:ind w:firstLine="3680" w:firstLineChars="1150"/>
        <w:rPr>
          <w:rFonts w:eastAsiaTheme="minorEastAsia"/>
          <w:color w:val="000000"/>
          <w:w w:val="0"/>
          <w:kern w:val="0"/>
          <w:sz w:val="0"/>
          <w:szCs w:val="0"/>
          <w:u w:color="000000"/>
          <w:shd w:val="clear" w:color="000000" w:fill="000000"/>
        </w:rPr>
      </w:pPr>
      <w:r>
        <w:rPr>
          <w:rFonts w:hint="eastAsia" w:ascii="楷体" w:hAnsi="楷体" w:eastAsia="楷体" w:cs="仿宋_GB2312"/>
          <w:sz w:val="32"/>
        </w:rPr>
        <w:t>陶   艺</w:t>
      </w:r>
    </w:p>
    <w:p>
      <w:pPr>
        <w:widowControl w:val="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ascii="仿宋_GB2312" w:hAnsi="仿宋_GB2312" w:eastAsia="仿宋_GB2312" w:cs="仿宋_GB2312"/>
          <w:sz w:val="32"/>
          <w:szCs w:val="32"/>
        </w:rPr>
        <w:drawing>
          <wp:inline distT="0" distB="0" distL="0" distR="0">
            <wp:extent cx="2543810" cy="1695450"/>
            <wp:effectExtent l="0" t="0" r="8890" b="0"/>
            <wp:docPr id="13" name="图片 13" descr="C:\Users\lenovo\Desktop\学生体验陶艺制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lenovo\Desktop\学生体验陶艺制作.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44417" cy="1695916"/>
                    </a:xfrm>
                    <a:prstGeom prst="rect">
                      <a:avLst/>
                    </a:prstGeom>
                    <a:noFill/>
                    <a:ln>
                      <a:noFill/>
                    </a:ln>
                  </pic:spPr>
                </pic:pic>
              </a:graphicData>
            </a:graphic>
          </wp:inline>
        </w:drawing>
      </w:r>
      <w:r>
        <w:rPr>
          <w:rFonts w:hint="eastAsia" w:ascii="仿宋_GB2312" w:hAnsi="仿宋_GB2312" w:eastAsia="仿宋_GB2312" w:cs="仿宋_GB2312"/>
          <w:sz w:val="32"/>
          <w:szCs w:val="32"/>
        </w:rPr>
        <w:t xml:space="preserve"> </w:t>
      </w:r>
      <w:r>
        <w:rPr>
          <w:rFonts w:eastAsia="Times New Roman"/>
          <w:snapToGrid w:val="0"/>
          <w:color w:val="000000"/>
          <w:w w:val="0"/>
          <w:kern w:val="0"/>
          <w:sz w:val="0"/>
          <w:szCs w:val="0"/>
          <w:u w:color="000000"/>
          <w:shd w:val="clear" w:color="000000" w:fill="000000"/>
          <w:lang w:val="zh-CN" w:eastAsia="zh-CN" w:bidi="zh-CN"/>
        </w:rPr>
        <w:t xml:space="preserve"> </w:t>
      </w:r>
      <w:r>
        <w:rPr>
          <w:rFonts w:ascii="仿宋_GB2312" w:hAnsi="仿宋_GB2312" w:eastAsia="仿宋_GB2312" w:cs="仿宋_GB2312"/>
          <w:sz w:val="32"/>
          <w:szCs w:val="32"/>
        </w:rPr>
        <w:drawing>
          <wp:inline distT="0" distB="0" distL="0" distR="0">
            <wp:extent cx="2520315" cy="1680210"/>
            <wp:effectExtent l="0" t="0" r="0" b="0"/>
            <wp:docPr id="24" name="图片 24" descr="E:\郑州市职业教育视频图片资料汇总\艺术工程学校\照片\各实训室分类照片\陶艺实训室\陶艺实训室内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郑州市职业教育视频图片资料汇总\艺术工程学校\照片\各实训室分类照片\陶艺实训室\陶艺实训室内景.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524270" cy="1683284"/>
                    </a:xfrm>
                    <a:prstGeom prst="rect">
                      <a:avLst/>
                    </a:prstGeom>
                    <a:noFill/>
                    <a:ln>
                      <a:noFill/>
                    </a:ln>
                  </pic:spPr>
                </pic:pic>
              </a:graphicData>
            </a:graphic>
          </wp:inline>
        </w:drawing>
      </w:r>
    </w:p>
    <w:p>
      <w:pPr>
        <w:widowControl w:val="0"/>
        <w:ind w:firstLine="643" w:firstLineChars="200"/>
        <w:rPr>
          <w:rFonts w:ascii="楷体" w:hAnsi="楷体" w:eastAsia="楷体" w:cs="楷体"/>
          <w:b/>
          <w:bCs/>
          <w:sz w:val="32"/>
          <w:szCs w:val="32"/>
        </w:rPr>
      </w:pPr>
    </w:p>
    <w:p>
      <w:pPr>
        <w:widowControl w:val="0"/>
        <w:ind w:firstLine="643" w:firstLineChars="200"/>
        <w:rPr>
          <w:rFonts w:ascii="楷体" w:hAnsi="楷体" w:eastAsia="楷体" w:cs="楷体"/>
          <w:b/>
          <w:bCs/>
          <w:sz w:val="32"/>
          <w:szCs w:val="32"/>
        </w:rPr>
      </w:pPr>
      <w:r>
        <w:rPr>
          <w:rFonts w:hint="eastAsia" w:ascii="楷体" w:hAnsi="楷体" w:eastAsia="楷体" w:cs="楷体"/>
          <w:b/>
          <w:bCs/>
          <w:sz w:val="32"/>
          <w:szCs w:val="32"/>
        </w:rPr>
        <w:t>5.3服务抗疫</w:t>
      </w:r>
    </w:p>
    <w:p>
      <w:pPr>
        <w:widowControl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学校是疫情防控重要区域，新冠肺炎疫情发生以来，郑州市各中等职业学校在市教育局的统一领导下，坚决贯彻习近平总书记重要指示精神，全面落实全市疫情防控部署要求，将打好疫情防控阻击战作为重大政治任务，万众一心、众志成城，疫情防控工作取得了明显成效，全市中职学校全体师生零感染，为疫情防控工作做出了突出贡献。</w:t>
      </w:r>
      <w:bookmarkStart w:id="84" w:name="_Toc21570_WPSOffice_Level1"/>
      <w:bookmarkStart w:id="85" w:name="_Toc7459_WPSOffice_Level1"/>
    </w:p>
    <w:p>
      <w:pPr>
        <w:widowControl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是建立疫情防控工作体系。第一时间下发《关于做好学校新型冠状病毒感染的肺炎疫情防控工作的紧急通知》，引导和督促学校制定并启动疫情防控预案，指导各中职学校成立疫情防控工作领导小组，责任落实到人，将相关工作分级分类，确保大量数据排查、汇总、上报翔实无误。二是技术层面指导做好疫情防控工作。成立全市学校疫情防控工作技术专家组，协助研究、跟踪分析学校疫情防控形势，开展技术分析评估，提供咨询、可行性建议等。三是认真做好宣传引导工作。通过微信、钉钉等网络平台，及时向学校发布上级疫情防控最新通知和工作要求，最大程度对师生员工开展疫情防控知识的宣传教育，在工作规范推进和校园舆情稳定方面取得良好效果。四是建立疫情防控工作日志制度。通过制度保障，确保各项工作提前谋划、逐项落实，全市职教系统疫情防控机制始终高效运转。</w:t>
      </w:r>
    </w:p>
    <w:p>
      <w:pPr>
        <w:widowControl w:val="0"/>
        <w:jc w:val="center"/>
        <w:rPr>
          <w:rFonts w:ascii="楷体" w:hAnsi="楷体" w:eastAsia="楷体" w:cs="楷体"/>
          <w:b/>
          <w:bCs/>
          <w:sz w:val="32"/>
          <w:szCs w:val="32"/>
        </w:rPr>
      </w:pPr>
      <w:r>
        <w:rPr>
          <w:rFonts w:hint="eastAsia" w:ascii="黑体" w:hAnsi="黑体" w:eastAsia="黑体" w:cs="黑体"/>
          <w:sz w:val="36"/>
          <w:szCs w:val="36"/>
        </w:rPr>
        <w:t>第六部分  政府履责</w:t>
      </w:r>
      <w:bookmarkEnd w:id="84"/>
      <w:bookmarkEnd w:id="85"/>
    </w:p>
    <w:p>
      <w:pPr>
        <w:widowControl w:val="0"/>
        <w:ind w:firstLine="643" w:firstLineChars="200"/>
        <w:rPr>
          <w:rFonts w:ascii="楷体" w:hAnsi="楷体" w:eastAsia="楷体" w:cs="楷体"/>
          <w:b/>
          <w:bCs/>
          <w:sz w:val="32"/>
          <w:szCs w:val="32"/>
        </w:rPr>
      </w:pPr>
      <w:bookmarkStart w:id="86" w:name="_Toc12265_WPSOffice_Level2"/>
      <w:bookmarkStart w:id="87" w:name="_Toc10735_WPSOffice_Level2"/>
      <w:r>
        <w:rPr>
          <w:rFonts w:hint="eastAsia" w:ascii="楷体" w:hAnsi="楷体" w:eastAsia="楷体" w:cs="楷体"/>
          <w:b/>
          <w:bCs/>
          <w:sz w:val="32"/>
          <w:szCs w:val="32"/>
        </w:rPr>
        <w:t>6.1经费</w:t>
      </w:r>
      <w:bookmarkEnd w:id="86"/>
      <w:bookmarkEnd w:id="87"/>
    </w:p>
    <w:p>
      <w:pPr>
        <w:widowControl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2020年郑州市中等职业教育总投入17.26亿元，生均教育事业费10301元，生均公用经费6673元。主要用于市级中等职业学校改善办学条件、市级教师培训、各级各类比赛活动以及职业教育招生宣传等。郑州市积极落实中职学生免学费和家庭经济困难学生资助政策，实现中职学生免学费政策全覆盖。从2015年秋季学期起，郑州市在全省率先全面实行免费中等职业教育，普惠于民。从2016年秋季学期开始，将建档立卡贫困家庭具有全日制正式学籍的学生全部纳入国家助学金资助范围，资助标准为每生每年2000元。从2019年秋季学期开始，郑州市落实《国家职业教育改革实施方案》，设立中等职业教育国家奖学金，奖励全日制在校生中特别优秀的学生，奖励标准为每人6000元。</w:t>
      </w:r>
    </w:p>
    <w:p>
      <w:pPr>
        <w:widowControl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2020年我市共发放国家助学金、免学费、国家奖学金375542人次，发放资金3.43亿元。其中，郑州市中等职业教育拨付免学费资金2.81亿元，惠及31.53万人次（其中建档立卡11087人次，资金991.98万元）；发放助学金资助金额0.60亿元，惠及6.0万人次（其中建档立卡8604人次，资金860.4万元）；获得国家奖学金的学生有247人，奖励金额148.2万元。</w:t>
      </w:r>
    </w:p>
    <w:p>
      <w:pPr>
        <w:widowControl w:val="0"/>
        <w:jc w:val="center"/>
      </w:pPr>
      <w:r>
        <w:rPr>
          <w:rFonts w:hint="eastAsia" w:ascii="黑体" w:hAnsi="黑体" w:eastAsia="黑体" w:cs="黑体"/>
          <w:sz w:val="28"/>
          <w:szCs w:val="28"/>
        </w:rPr>
        <w:t>表6-1  2019—2020年郑州市中等职业学校资助发放情况</w:t>
      </w:r>
    </w:p>
    <w:tbl>
      <w:tblPr>
        <w:tblStyle w:val="13"/>
        <w:tblW w:w="8845" w:type="dxa"/>
        <w:tblInd w:w="101" w:type="dxa"/>
        <w:tblLayout w:type="fixed"/>
        <w:tblCellMar>
          <w:top w:w="15" w:type="dxa"/>
          <w:left w:w="15" w:type="dxa"/>
          <w:bottom w:w="15" w:type="dxa"/>
          <w:right w:w="15" w:type="dxa"/>
        </w:tblCellMar>
      </w:tblPr>
      <w:tblGrid>
        <w:gridCol w:w="907"/>
        <w:gridCol w:w="992"/>
        <w:gridCol w:w="1417"/>
        <w:gridCol w:w="851"/>
        <w:gridCol w:w="1417"/>
        <w:gridCol w:w="851"/>
        <w:gridCol w:w="1276"/>
        <w:gridCol w:w="1134"/>
      </w:tblGrid>
      <w:tr>
        <w:tblPrEx>
          <w:tblCellMar>
            <w:top w:w="15" w:type="dxa"/>
            <w:left w:w="15" w:type="dxa"/>
            <w:bottom w:w="15" w:type="dxa"/>
            <w:right w:w="15" w:type="dxa"/>
          </w:tblCellMar>
        </w:tblPrEx>
        <w:trPr>
          <w:trHeight w:val="286" w:hRule="atLeast"/>
        </w:trPr>
        <w:tc>
          <w:tcPr>
            <w:tcW w:w="907" w:type="dxa"/>
            <w:vMerge w:val="restart"/>
            <w:tcBorders>
              <w:top w:val="single" w:color="000000" w:sz="4" w:space="0"/>
              <w:left w:val="single" w:color="000000" w:sz="4" w:space="0"/>
              <w:right w:val="single" w:color="000000" w:sz="4" w:space="0"/>
            </w:tcBorders>
            <w:shd w:val="clear" w:color="auto" w:fill="D9E2F3" w:themeFill="accent5" w:themeFillTint="33"/>
            <w:vAlign w:val="center"/>
          </w:tcPr>
          <w:p>
            <w:pPr>
              <w:spacing w:line="360" w:lineRule="auto"/>
              <w:jc w:val="center"/>
              <w:textAlignment w:val="center"/>
              <w:rPr>
                <w:rFonts w:ascii="黑体" w:hAnsi="黑体" w:eastAsia="黑体" w:cs="黑体"/>
                <w:kern w:val="0"/>
                <w:sz w:val="24"/>
                <w:szCs w:val="24"/>
                <w:lang w:bidi="ar"/>
              </w:rPr>
            </w:pPr>
            <w:r>
              <w:rPr>
                <w:rFonts w:hint="eastAsia" w:ascii="黑体" w:hAnsi="黑体" w:eastAsia="黑体" w:cs="黑体"/>
                <w:kern w:val="0"/>
                <w:sz w:val="24"/>
                <w:szCs w:val="24"/>
                <w:lang w:bidi="ar"/>
              </w:rPr>
              <w:t>年度</w:t>
            </w:r>
          </w:p>
        </w:tc>
        <w:tc>
          <w:tcPr>
            <w:tcW w:w="2409" w:type="dxa"/>
            <w:gridSpan w:val="2"/>
            <w:tcBorders>
              <w:top w:val="single" w:color="000000" w:sz="4" w:space="0"/>
              <w:left w:val="single" w:color="000000" w:sz="4" w:space="0"/>
              <w:bottom w:val="single" w:color="000000" w:sz="4" w:space="0"/>
              <w:right w:val="single" w:color="000000" w:sz="4" w:space="0"/>
            </w:tcBorders>
            <w:shd w:val="clear" w:color="auto" w:fill="D9E2F3" w:themeFill="accent5" w:themeFillTint="33"/>
            <w:vAlign w:val="center"/>
          </w:tcPr>
          <w:p>
            <w:pPr>
              <w:spacing w:line="360" w:lineRule="auto"/>
              <w:jc w:val="center"/>
              <w:textAlignment w:val="center"/>
              <w:rPr>
                <w:rFonts w:ascii="黑体" w:hAnsi="黑体" w:eastAsia="黑体" w:cs="黑体"/>
                <w:sz w:val="24"/>
                <w:szCs w:val="24"/>
              </w:rPr>
            </w:pPr>
            <w:r>
              <w:rPr>
                <w:rFonts w:hint="eastAsia" w:ascii="黑体" w:hAnsi="黑体" w:eastAsia="黑体" w:cs="黑体"/>
                <w:kern w:val="0"/>
                <w:sz w:val="24"/>
                <w:szCs w:val="24"/>
                <w:lang w:bidi="ar"/>
              </w:rPr>
              <w:t>免学费</w:t>
            </w:r>
          </w:p>
        </w:tc>
        <w:tc>
          <w:tcPr>
            <w:tcW w:w="2268" w:type="dxa"/>
            <w:gridSpan w:val="2"/>
            <w:tcBorders>
              <w:top w:val="single" w:color="000000" w:sz="4" w:space="0"/>
              <w:left w:val="single" w:color="000000" w:sz="4" w:space="0"/>
              <w:bottom w:val="single" w:color="000000" w:sz="4" w:space="0"/>
              <w:right w:val="single" w:color="000000" w:sz="4" w:space="0"/>
            </w:tcBorders>
            <w:shd w:val="clear" w:color="auto" w:fill="D9E2F3" w:themeFill="accent5" w:themeFillTint="33"/>
            <w:vAlign w:val="center"/>
          </w:tcPr>
          <w:p>
            <w:pPr>
              <w:spacing w:line="360" w:lineRule="auto"/>
              <w:jc w:val="center"/>
              <w:textAlignment w:val="center"/>
              <w:rPr>
                <w:rFonts w:ascii="黑体" w:hAnsi="黑体" w:eastAsia="黑体" w:cs="黑体"/>
                <w:sz w:val="24"/>
                <w:szCs w:val="24"/>
              </w:rPr>
            </w:pPr>
            <w:r>
              <w:rPr>
                <w:rFonts w:hint="eastAsia" w:ascii="黑体" w:hAnsi="黑体" w:eastAsia="黑体" w:cs="黑体"/>
                <w:kern w:val="0"/>
                <w:sz w:val="24"/>
                <w:szCs w:val="24"/>
                <w:lang w:bidi="ar"/>
              </w:rPr>
              <w:t>助学金</w:t>
            </w:r>
          </w:p>
        </w:tc>
        <w:tc>
          <w:tcPr>
            <w:tcW w:w="2127" w:type="dxa"/>
            <w:gridSpan w:val="2"/>
            <w:tcBorders>
              <w:top w:val="single" w:color="000000" w:sz="4" w:space="0"/>
              <w:left w:val="single" w:color="000000" w:sz="4" w:space="0"/>
              <w:bottom w:val="single" w:color="000000" w:sz="4" w:space="0"/>
              <w:right w:val="single" w:color="000000" w:sz="4" w:space="0"/>
            </w:tcBorders>
            <w:shd w:val="clear" w:color="auto" w:fill="D9E2F3" w:themeFill="accent5" w:themeFillTint="33"/>
            <w:vAlign w:val="center"/>
          </w:tcPr>
          <w:p>
            <w:pPr>
              <w:spacing w:line="360" w:lineRule="auto"/>
              <w:jc w:val="center"/>
              <w:textAlignment w:val="center"/>
              <w:rPr>
                <w:rFonts w:ascii="黑体" w:hAnsi="黑体" w:eastAsia="黑体" w:cs="黑体"/>
                <w:kern w:val="0"/>
                <w:sz w:val="24"/>
                <w:szCs w:val="24"/>
                <w:lang w:bidi="ar"/>
              </w:rPr>
            </w:pPr>
            <w:r>
              <w:rPr>
                <w:rFonts w:hint="eastAsia" w:ascii="黑体" w:hAnsi="黑体" w:eastAsia="黑体" w:cs="黑体"/>
                <w:kern w:val="0"/>
                <w:sz w:val="24"/>
                <w:szCs w:val="24"/>
                <w:lang w:bidi="ar"/>
              </w:rPr>
              <w:t>国家奖学金</w:t>
            </w:r>
          </w:p>
        </w:tc>
        <w:tc>
          <w:tcPr>
            <w:tcW w:w="1134" w:type="dxa"/>
            <w:vMerge w:val="restart"/>
            <w:tcBorders>
              <w:top w:val="single" w:color="000000" w:sz="4" w:space="0"/>
              <w:left w:val="single" w:color="000000" w:sz="4" w:space="0"/>
              <w:right w:val="single" w:color="000000" w:sz="4" w:space="0"/>
            </w:tcBorders>
            <w:shd w:val="clear" w:color="auto" w:fill="D9E2F3" w:themeFill="accent5" w:themeFillTint="33"/>
            <w:vAlign w:val="center"/>
          </w:tcPr>
          <w:p>
            <w:pPr>
              <w:spacing w:line="360" w:lineRule="auto"/>
              <w:jc w:val="center"/>
              <w:textAlignment w:val="center"/>
              <w:rPr>
                <w:rFonts w:ascii="黑体" w:hAnsi="黑体" w:eastAsia="黑体" w:cs="黑体"/>
                <w:kern w:val="0"/>
                <w:sz w:val="24"/>
                <w:szCs w:val="24"/>
                <w:lang w:bidi="ar"/>
              </w:rPr>
            </w:pPr>
            <w:r>
              <w:rPr>
                <w:rFonts w:hint="eastAsia" w:ascii="黑体" w:hAnsi="黑体" w:eastAsia="黑体" w:cs="黑体"/>
                <w:kern w:val="0"/>
                <w:sz w:val="24"/>
                <w:szCs w:val="24"/>
                <w:lang w:bidi="ar"/>
              </w:rPr>
              <w:t>金额合计</w:t>
            </w:r>
          </w:p>
          <w:p>
            <w:pPr>
              <w:spacing w:line="360" w:lineRule="auto"/>
              <w:jc w:val="center"/>
              <w:textAlignment w:val="center"/>
              <w:rPr>
                <w:rFonts w:ascii="黑体" w:hAnsi="黑体" w:eastAsia="黑体" w:cs="黑体"/>
                <w:kern w:val="0"/>
                <w:sz w:val="24"/>
                <w:szCs w:val="24"/>
                <w:lang w:bidi="ar"/>
              </w:rPr>
            </w:pPr>
            <w:r>
              <w:rPr>
                <w:rFonts w:hint="eastAsia" w:ascii="黑体" w:hAnsi="黑体" w:eastAsia="黑体" w:cs="黑体"/>
                <w:kern w:val="0"/>
                <w:sz w:val="24"/>
                <w:szCs w:val="24"/>
                <w:lang w:bidi="ar"/>
              </w:rPr>
              <w:t>（万元）</w:t>
            </w:r>
          </w:p>
        </w:tc>
      </w:tr>
      <w:tr>
        <w:tblPrEx>
          <w:tblCellMar>
            <w:top w:w="15" w:type="dxa"/>
            <w:left w:w="15" w:type="dxa"/>
            <w:bottom w:w="15" w:type="dxa"/>
            <w:right w:w="15" w:type="dxa"/>
          </w:tblCellMar>
        </w:tblPrEx>
        <w:trPr>
          <w:trHeight w:val="286" w:hRule="atLeast"/>
        </w:trPr>
        <w:tc>
          <w:tcPr>
            <w:tcW w:w="907" w:type="dxa"/>
            <w:vMerge w:val="continue"/>
            <w:tcBorders>
              <w:left w:val="single" w:color="000000" w:sz="4" w:space="0"/>
              <w:bottom w:val="single" w:color="000000" w:sz="4" w:space="0"/>
              <w:right w:val="single" w:color="000000" w:sz="4" w:space="0"/>
            </w:tcBorders>
            <w:shd w:val="clear" w:color="auto" w:fill="D9E2F3" w:themeFill="accent5" w:themeFillTint="33"/>
            <w:vAlign w:val="center"/>
          </w:tcPr>
          <w:p>
            <w:pPr>
              <w:spacing w:line="360" w:lineRule="auto"/>
              <w:jc w:val="center"/>
              <w:textAlignment w:val="center"/>
              <w:rPr>
                <w:rFonts w:asciiTheme="majorEastAsia" w:hAnsiTheme="majorEastAsia" w:eastAsiaTheme="majorEastAsia" w:cstheme="majorEastAsia"/>
                <w:kern w:val="0"/>
                <w:sz w:val="24"/>
                <w:szCs w:val="24"/>
                <w:lang w:bidi="ar"/>
              </w:rPr>
            </w:pPr>
          </w:p>
        </w:tc>
        <w:tc>
          <w:tcPr>
            <w:tcW w:w="992" w:type="dxa"/>
            <w:tcBorders>
              <w:top w:val="single" w:color="000000" w:sz="4" w:space="0"/>
              <w:left w:val="single" w:color="000000" w:sz="4" w:space="0"/>
              <w:bottom w:val="single" w:color="000000" w:sz="4" w:space="0"/>
              <w:right w:val="single" w:color="000000" w:sz="4" w:space="0"/>
            </w:tcBorders>
            <w:shd w:val="clear" w:color="auto" w:fill="D9E2F3" w:themeFill="accent5" w:themeFillTint="33"/>
            <w:vAlign w:val="center"/>
          </w:tcPr>
          <w:p>
            <w:pPr>
              <w:spacing w:line="360" w:lineRule="auto"/>
              <w:jc w:val="center"/>
              <w:textAlignment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kern w:val="0"/>
                <w:sz w:val="24"/>
                <w:szCs w:val="24"/>
                <w:lang w:bidi="ar"/>
              </w:rPr>
              <w:t>人次</w:t>
            </w:r>
          </w:p>
        </w:tc>
        <w:tc>
          <w:tcPr>
            <w:tcW w:w="1417" w:type="dxa"/>
            <w:tcBorders>
              <w:top w:val="single" w:color="000000" w:sz="4" w:space="0"/>
              <w:left w:val="single" w:color="000000" w:sz="4" w:space="0"/>
              <w:bottom w:val="single" w:color="000000" w:sz="4" w:space="0"/>
              <w:right w:val="single" w:color="000000" w:sz="4" w:space="0"/>
            </w:tcBorders>
            <w:shd w:val="clear" w:color="auto" w:fill="D9E2F3" w:themeFill="accent5" w:themeFillTint="33"/>
            <w:vAlign w:val="center"/>
          </w:tcPr>
          <w:p>
            <w:pPr>
              <w:spacing w:line="360" w:lineRule="auto"/>
              <w:jc w:val="center"/>
              <w:textAlignment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kern w:val="0"/>
                <w:sz w:val="24"/>
                <w:szCs w:val="24"/>
                <w:lang w:bidi="ar"/>
              </w:rPr>
              <w:t>金额（万元）</w:t>
            </w:r>
          </w:p>
        </w:tc>
        <w:tc>
          <w:tcPr>
            <w:tcW w:w="851" w:type="dxa"/>
            <w:tcBorders>
              <w:top w:val="single" w:color="000000" w:sz="4" w:space="0"/>
              <w:left w:val="single" w:color="000000" w:sz="4" w:space="0"/>
              <w:bottom w:val="single" w:color="000000" w:sz="4" w:space="0"/>
              <w:right w:val="single" w:color="000000" w:sz="4" w:space="0"/>
            </w:tcBorders>
            <w:shd w:val="clear" w:color="auto" w:fill="D9E2F3" w:themeFill="accent5" w:themeFillTint="33"/>
            <w:vAlign w:val="center"/>
          </w:tcPr>
          <w:p>
            <w:pPr>
              <w:spacing w:line="360" w:lineRule="auto"/>
              <w:jc w:val="center"/>
              <w:textAlignment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kern w:val="0"/>
                <w:sz w:val="24"/>
                <w:szCs w:val="24"/>
                <w:lang w:bidi="ar"/>
              </w:rPr>
              <w:t>人次</w:t>
            </w:r>
          </w:p>
        </w:tc>
        <w:tc>
          <w:tcPr>
            <w:tcW w:w="1417" w:type="dxa"/>
            <w:tcBorders>
              <w:top w:val="single" w:color="000000" w:sz="4" w:space="0"/>
              <w:left w:val="single" w:color="000000" w:sz="4" w:space="0"/>
              <w:bottom w:val="single" w:color="000000" w:sz="4" w:space="0"/>
              <w:right w:val="single" w:color="000000" w:sz="4" w:space="0"/>
            </w:tcBorders>
            <w:shd w:val="clear" w:color="auto" w:fill="D9E2F3" w:themeFill="accent5" w:themeFillTint="33"/>
            <w:vAlign w:val="center"/>
          </w:tcPr>
          <w:p>
            <w:pPr>
              <w:spacing w:line="360" w:lineRule="auto"/>
              <w:jc w:val="center"/>
              <w:textAlignment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kern w:val="0"/>
                <w:sz w:val="24"/>
                <w:szCs w:val="24"/>
                <w:lang w:bidi="ar"/>
              </w:rPr>
              <w:t>金额（万元）</w:t>
            </w:r>
          </w:p>
        </w:tc>
        <w:tc>
          <w:tcPr>
            <w:tcW w:w="851" w:type="dxa"/>
            <w:tcBorders>
              <w:top w:val="single" w:color="000000" w:sz="4" w:space="0"/>
              <w:left w:val="single" w:color="000000" w:sz="4" w:space="0"/>
              <w:bottom w:val="single" w:color="000000" w:sz="4" w:space="0"/>
              <w:right w:val="single" w:color="000000" w:sz="4" w:space="0"/>
            </w:tcBorders>
            <w:shd w:val="clear" w:color="auto" w:fill="D9E2F3" w:themeFill="accent5" w:themeFillTint="33"/>
            <w:vAlign w:val="center"/>
          </w:tcPr>
          <w:p>
            <w:pPr>
              <w:spacing w:line="360" w:lineRule="auto"/>
              <w:jc w:val="center"/>
              <w:textAlignment w:val="center"/>
              <w:rPr>
                <w:rFonts w:asciiTheme="majorEastAsia" w:hAnsiTheme="majorEastAsia" w:eastAsiaTheme="majorEastAsia" w:cstheme="majorEastAsia"/>
                <w:kern w:val="0"/>
                <w:sz w:val="24"/>
                <w:szCs w:val="24"/>
                <w:lang w:bidi="ar"/>
              </w:rPr>
            </w:pPr>
            <w:r>
              <w:rPr>
                <w:rFonts w:hint="eastAsia" w:asciiTheme="majorEastAsia" w:hAnsiTheme="majorEastAsia" w:eastAsiaTheme="majorEastAsia" w:cstheme="majorEastAsia"/>
                <w:kern w:val="0"/>
                <w:sz w:val="24"/>
                <w:szCs w:val="24"/>
                <w:lang w:bidi="ar"/>
              </w:rPr>
              <w:t>人次</w:t>
            </w:r>
          </w:p>
        </w:tc>
        <w:tc>
          <w:tcPr>
            <w:tcW w:w="1276" w:type="dxa"/>
            <w:tcBorders>
              <w:top w:val="single" w:color="000000" w:sz="4" w:space="0"/>
              <w:left w:val="single" w:color="000000" w:sz="4" w:space="0"/>
              <w:bottom w:val="single" w:color="000000" w:sz="4" w:space="0"/>
              <w:right w:val="single" w:color="000000" w:sz="4" w:space="0"/>
            </w:tcBorders>
            <w:shd w:val="clear" w:color="auto" w:fill="D9E2F3" w:themeFill="accent5" w:themeFillTint="33"/>
            <w:vAlign w:val="center"/>
          </w:tcPr>
          <w:p>
            <w:pPr>
              <w:spacing w:line="360" w:lineRule="auto"/>
              <w:jc w:val="center"/>
              <w:textAlignment w:val="center"/>
              <w:rPr>
                <w:rFonts w:asciiTheme="majorEastAsia" w:hAnsiTheme="majorEastAsia" w:eastAsiaTheme="majorEastAsia" w:cstheme="majorEastAsia"/>
                <w:kern w:val="0"/>
                <w:sz w:val="24"/>
                <w:szCs w:val="24"/>
                <w:lang w:bidi="ar"/>
              </w:rPr>
            </w:pPr>
            <w:r>
              <w:rPr>
                <w:rFonts w:hint="eastAsia" w:asciiTheme="majorEastAsia" w:hAnsiTheme="majorEastAsia" w:eastAsiaTheme="majorEastAsia" w:cstheme="majorEastAsia"/>
                <w:kern w:val="0"/>
                <w:sz w:val="24"/>
                <w:szCs w:val="24"/>
                <w:lang w:bidi="ar"/>
              </w:rPr>
              <w:t>金额（万元）</w:t>
            </w:r>
          </w:p>
        </w:tc>
        <w:tc>
          <w:tcPr>
            <w:tcW w:w="1134" w:type="dxa"/>
            <w:vMerge w:val="continue"/>
            <w:tcBorders>
              <w:left w:val="single" w:color="000000" w:sz="4" w:space="0"/>
              <w:bottom w:val="single" w:color="000000" w:sz="4" w:space="0"/>
              <w:right w:val="single" w:color="000000" w:sz="4" w:space="0"/>
            </w:tcBorders>
            <w:shd w:val="clear" w:color="auto" w:fill="D9E2F3" w:themeFill="accent5" w:themeFillTint="33"/>
            <w:vAlign w:val="center"/>
          </w:tcPr>
          <w:p>
            <w:pPr>
              <w:spacing w:line="360" w:lineRule="auto"/>
              <w:jc w:val="center"/>
              <w:textAlignment w:val="center"/>
              <w:rPr>
                <w:rFonts w:asciiTheme="majorEastAsia" w:hAnsiTheme="majorEastAsia" w:eastAsiaTheme="majorEastAsia" w:cstheme="majorEastAsia"/>
                <w:kern w:val="0"/>
                <w:sz w:val="24"/>
                <w:szCs w:val="24"/>
                <w:lang w:bidi="ar"/>
              </w:rPr>
            </w:pPr>
          </w:p>
        </w:tc>
      </w:tr>
      <w:tr>
        <w:tblPrEx>
          <w:tblCellMar>
            <w:top w:w="15" w:type="dxa"/>
            <w:left w:w="15" w:type="dxa"/>
            <w:bottom w:w="15" w:type="dxa"/>
            <w:right w:w="15" w:type="dxa"/>
          </w:tblCellMar>
        </w:tblPrEx>
        <w:trPr>
          <w:trHeight w:val="767" w:hRule="atLeast"/>
        </w:trPr>
        <w:tc>
          <w:tcPr>
            <w:tcW w:w="907"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spacing w:line="360" w:lineRule="auto"/>
              <w:jc w:val="center"/>
              <w:textAlignment w:val="center"/>
              <w:rPr>
                <w:rFonts w:asciiTheme="majorEastAsia" w:hAnsiTheme="majorEastAsia" w:eastAsiaTheme="majorEastAsia" w:cstheme="majorEastAsia"/>
                <w:kern w:val="0"/>
                <w:sz w:val="24"/>
                <w:szCs w:val="24"/>
                <w:lang w:bidi="ar"/>
              </w:rPr>
            </w:pPr>
            <w:r>
              <w:rPr>
                <w:rFonts w:hint="eastAsia" w:asciiTheme="majorEastAsia" w:hAnsiTheme="majorEastAsia" w:eastAsiaTheme="majorEastAsia" w:cstheme="majorEastAsia"/>
                <w:kern w:val="0"/>
                <w:sz w:val="24"/>
                <w:szCs w:val="24"/>
                <w:lang w:bidi="ar"/>
              </w:rPr>
              <w:t>2019年</w:t>
            </w:r>
          </w:p>
        </w:tc>
        <w:tc>
          <w:tcPr>
            <w:tcW w:w="992"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spacing w:line="360" w:lineRule="auto"/>
              <w:jc w:val="center"/>
              <w:textAlignment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296352</w:t>
            </w:r>
          </w:p>
        </w:tc>
        <w:tc>
          <w:tcPr>
            <w:tcW w:w="1417"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spacing w:line="360" w:lineRule="auto"/>
              <w:jc w:val="center"/>
              <w:textAlignment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26458.9</w:t>
            </w:r>
          </w:p>
        </w:tc>
        <w:tc>
          <w:tcPr>
            <w:tcW w:w="851"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spacing w:line="360" w:lineRule="auto"/>
              <w:jc w:val="center"/>
              <w:textAlignment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57297</w:t>
            </w:r>
          </w:p>
        </w:tc>
        <w:tc>
          <w:tcPr>
            <w:tcW w:w="1417"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spacing w:line="360" w:lineRule="auto"/>
              <w:jc w:val="center"/>
              <w:textAlignment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5724.9</w:t>
            </w:r>
          </w:p>
        </w:tc>
        <w:tc>
          <w:tcPr>
            <w:tcW w:w="851"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spacing w:line="360" w:lineRule="auto"/>
              <w:jc w:val="center"/>
              <w:textAlignment w:val="center"/>
              <w:rPr>
                <w:rFonts w:asciiTheme="majorEastAsia" w:hAnsiTheme="majorEastAsia" w:eastAsiaTheme="majorEastAsia" w:cstheme="majorEastAsia"/>
                <w:kern w:val="0"/>
                <w:sz w:val="24"/>
                <w:szCs w:val="24"/>
                <w:lang w:bidi="ar"/>
              </w:rPr>
            </w:pPr>
            <w:r>
              <w:rPr>
                <w:rFonts w:hint="eastAsia" w:asciiTheme="majorEastAsia" w:hAnsiTheme="majorEastAsia" w:eastAsiaTheme="majorEastAsia" w:cstheme="majorEastAsia"/>
                <w:kern w:val="0"/>
                <w:sz w:val="24"/>
                <w:szCs w:val="24"/>
                <w:lang w:bidi="ar"/>
              </w:rPr>
              <w:t>246</w:t>
            </w:r>
          </w:p>
        </w:tc>
        <w:tc>
          <w:tcPr>
            <w:tcW w:w="1276"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spacing w:line="360" w:lineRule="auto"/>
              <w:jc w:val="center"/>
              <w:textAlignment w:val="center"/>
              <w:rPr>
                <w:rFonts w:asciiTheme="majorEastAsia" w:hAnsiTheme="majorEastAsia" w:eastAsiaTheme="majorEastAsia" w:cstheme="majorEastAsia"/>
                <w:kern w:val="0"/>
                <w:sz w:val="24"/>
                <w:szCs w:val="24"/>
                <w:lang w:bidi="ar"/>
              </w:rPr>
            </w:pPr>
            <w:r>
              <w:rPr>
                <w:rFonts w:hint="eastAsia" w:asciiTheme="majorEastAsia" w:hAnsiTheme="majorEastAsia" w:eastAsiaTheme="majorEastAsia" w:cstheme="majorEastAsia"/>
                <w:kern w:val="0"/>
                <w:sz w:val="24"/>
                <w:szCs w:val="24"/>
                <w:lang w:bidi="ar"/>
              </w:rPr>
              <w:t>147.6</w:t>
            </w:r>
          </w:p>
        </w:tc>
        <w:tc>
          <w:tcPr>
            <w:tcW w:w="1134"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spacing w:line="360" w:lineRule="auto"/>
              <w:jc w:val="center"/>
              <w:textAlignment w:val="center"/>
              <w:rPr>
                <w:rFonts w:asciiTheme="majorEastAsia" w:hAnsiTheme="majorEastAsia" w:eastAsiaTheme="majorEastAsia" w:cstheme="majorEastAsia"/>
                <w:kern w:val="0"/>
                <w:sz w:val="24"/>
                <w:szCs w:val="24"/>
                <w:lang w:bidi="ar"/>
              </w:rPr>
            </w:pPr>
            <w:r>
              <w:rPr>
                <w:rFonts w:hint="eastAsia" w:asciiTheme="majorEastAsia" w:hAnsiTheme="majorEastAsia" w:eastAsiaTheme="majorEastAsia" w:cstheme="majorEastAsia"/>
                <w:kern w:val="0"/>
                <w:sz w:val="24"/>
                <w:szCs w:val="24"/>
                <w:lang w:bidi="ar"/>
              </w:rPr>
              <w:t>32331.4</w:t>
            </w:r>
          </w:p>
        </w:tc>
      </w:tr>
      <w:tr>
        <w:tblPrEx>
          <w:tblCellMar>
            <w:top w:w="15" w:type="dxa"/>
            <w:left w:w="15" w:type="dxa"/>
            <w:bottom w:w="15" w:type="dxa"/>
            <w:right w:w="15" w:type="dxa"/>
          </w:tblCellMar>
        </w:tblPrEx>
        <w:trPr>
          <w:trHeight w:val="689" w:hRule="atLeast"/>
        </w:trPr>
        <w:tc>
          <w:tcPr>
            <w:tcW w:w="907"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spacing w:line="360" w:lineRule="auto"/>
              <w:jc w:val="center"/>
              <w:textAlignment w:val="center"/>
              <w:rPr>
                <w:rFonts w:asciiTheme="majorEastAsia" w:hAnsiTheme="majorEastAsia" w:eastAsiaTheme="majorEastAsia" w:cstheme="majorEastAsia"/>
                <w:kern w:val="0"/>
                <w:sz w:val="24"/>
                <w:szCs w:val="24"/>
                <w:lang w:bidi="ar"/>
              </w:rPr>
            </w:pPr>
            <w:r>
              <w:rPr>
                <w:rFonts w:hint="eastAsia" w:asciiTheme="majorEastAsia" w:hAnsiTheme="majorEastAsia" w:eastAsiaTheme="majorEastAsia" w:cstheme="majorEastAsia"/>
                <w:kern w:val="0"/>
                <w:sz w:val="24"/>
                <w:szCs w:val="24"/>
                <w:lang w:bidi="ar"/>
              </w:rPr>
              <w:t>2020年</w:t>
            </w:r>
          </w:p>
        </w:tc>
        <w:tc>
          <w:tcPr>
            <w:tcW w:w="992"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spacing w:line="360" w:lineRule="auto"/>
              <w:jc w:val="center"/>
              <w:textAlignment w:val="center"/>
              <w:rPr>
                <w:rFonts w:asciiTheme="majorEastAsia" w:hAnsiTheme="majorEastAsia" w:eastAsiaTheme="majorEastAsia" w:cstheme="majorEastAsia"/>
                <w:kern w:val="0"/>
                <w:sz w:val="24"/>
                <w:szCs w:val="24"/>
                <w:lang w:bidi="ar"/>
              </w:rPr>
            </w:pPr>
            <w:r>
              <w:rPr>
                <w:rFonts w:hint="eastAsia" w:asciiTheme="majorEastAsia" w:hAnsiTheme="majorEastAsia" w:eastAsiaTheme="majorEastAsia" w:cstheme="majorEastAsia"/>
                <w:kern w:val="0"/>
                <w:sz w:val="24"/>
                <w:szCs w:val="24"/>
                <w:lang w:bidi="ar"/>
              </w:rPr>
              <w:t>315263</w:t>
            </w:r>
          </w:p>
        </w:tc>
        <w:tc>
          <w:tcPr>
            <w:tcW w:w="1417"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spacing w:line="360" w:lineRule="auto"/>
              <w:jc w:val="center"/>
              <w:textAlignment w:val="center"/>
              <w:rPr>
                <w:rFonts w:asciiTheme="majorEastAsia" w:hAnsiTheme="majorEastAsia" w:eastAsiaTheme="majorEastAsia" w:cstheme="majorEastAsia"/>
                <w:kern w:val="0"/>
                <w:sz w:val="24"/>
                <w:szCs w:val="24"/>
                <w:lang w:bidi="ar"/>
              </w:rPr>
            </w:pPr>
            <w:r>
              <w:rPr>
                <w:rFonts w:hint="eastAsia" w:asciiTheme="majorEastAsia" w:hAnsiTheme="majorEastAsia" w:eastAsiaTheme="majorEastAsia" w:cstheme="majorEastAsia"/>
                <w:kern w:val="0"/>
                <w:sz w:val="24"/>
                <w:szCs w:val="24"/>
                <w:lang w:bidi="ar"/>
              </w:rPr>
              <w:t>28100.4</w:t>
            </w:r>
          </w:p>
        </w:tc>
        <w:tc>
          <w:tcPr>
            <w:tcW w:w="851"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spacing w:line="360" w:lineRule="auto"/>
              <w:jc w:val="center"/>
              <w:textAlignment w:val="center"/>
              <w:rPr>
                <w:rFonts w:asciiTheme="majorEastAsia" w:hAnsiTheme="majorEastAsia" w:eastAsiaTheme="majorEastAsia" w:cstheme="majorEastAsia"/>
                <w:kern w:val="0"/>
                <w:sz w:val="24"/>
                <w:szCs w:val="24"/>
                <w:lang w:bidi="ar"/>
              </w:rPr>
            </w:pPr>
            <w:r>
              <w:rPr>
                <w:rFonts w:hint="eastAsia" w:asciiTheme="majorEastAsia" w:hAnsiTheme="majorEastAsia" w:eastAsiaTheme="majorEastAsia" w:cstheme="majorEastAsia"/>
                <w:kern w:val="0"/>
                <w:sz w:val="24"/>
                <w:szCs w:val="24"/>
                <w:lang w:bidi="ar"/>
              </w:rPr>
              <w:t>60032</w:t>
            </w:r>
          </w:p>
        </w:tc>
        <w:tc>
          <w:tcPr>
            <w:tcW w:w="1417"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spacing w:line="360" w:lineRule="auto"/>
              <w:jc w:val="center"/>
              <w:textAlignment w:val="center"/>
              <w:rPr>
                <w:rFonts w:asciiTheme="majorEastAsia" w:hAnsiTheme="majorEastAsia" w:eastAsiaTheme="majorEastAsia" w:cstheme="majorEastAsia"/>
                <w:kern w:val="0"/>
                <w:sz w:val="24"/>
                <w:szCs w:val="24"/>
                <w:lang w:bidi="ar"/>
              </w:rPr>
            </w:pPr>
            <w:r>
              <w:rPr>
                <w:rFonts w:hint="eastAsia" w:asciiTheme="majorEastAsia" w:hAnsiTheme="majorEastAsia" w:eastAsiaTheme="majorEastAsia" w:cstheme="majorEastAsia"/>
                <w:kern w:val="0"/>
                <w:sz w:val="24"/>
                <w:szCs w:val="24"/>
                <w:lang w:bidi="ar"/>
              </w:rPr>
              <w:t>6003.2</w:t>
            </w:r>
          </w:p>
        </w:tc>
        <w:tc>
          <w:tcPr>
            <w:tcW w:w="851"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spacing w:line="360" w:lineRule="auto"/>
              <w:jc w:val="center"/>
              <w:textAlignment w:val="center"/>
              <w:rPr>
                <w:rFonts w:asciiTheme="majorEastAsia" w:hAnsiTheme="majorEastAsia" w:eastAsiaTheme="majorEastAsia" w:cstheme="majorEastAsia"/>
                <w:kern w:val="0"/>
                <w:sz w:val="24"/>
                <w:szCs w:val="24"/>
                <w:lang w:bidi="ar"/>
              </w:rPr>
            </w:pPr>
            <w:r>
              <w:rPr>
                <w:rFonts w:hint="eastAsia" w:asciiTheme="majorEastAsia" w:hAnsiTheme="majorEastAsia" w:eastAsiaTheme="majorEastAsia" w:cstheme="majorEastAsia"/>
                <w:kern w:val="0"/>
                <w:sz w:val="24"/>
                <w:szCs w:val="24"/>
                <w:lang w:bidi="ar"/>
              </w:rPr>
              <w:t>247</w:t>
            </w:r>
          </w:p>
        </w:tc>
        <w:tc>
          <w:tcPr>
            <w:tcW w:w="1276"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spacing w:line="360" w:lineRule="auto"/>
              <w:jc w:val="center"/>
              <w:textAlignment w:val="center"/>
              <w:rPr>
                <w:rFonts w:asciiTheme="majorEastAsia" w:hAnsiTheme="majorEastAsia" w:eastAsiaTheme="majorEastAsia" w:cstheme="majorEastAsia"/>
                <w:kern w:val="0"/>
                <w:sz w:val="24"/>
                <w:szCs w:val="24"/>
                <w:lang w:bidi="ar"/>
              </w:rPr>
            </w:pPr>
            <w:r>
              <w:rPr>
                <w:rFonts w:hint="eastAsia" w:asciiTheme="majorEastAsia" w:hAnsiTheme="majorEastAsia" w:eastAsiaTheme="majorEastAsia" w:cstheme="majorEastAsia"/>
                <w:kern w:val="0"/>
                <w:sz w:val="24"/>
                <w:szCs w:val="24"/>
                <w:lang w:bidi="ar"/>
              </w:rPr>
              <w:t>148.2</w:t>
            </w:r>
          </w:p>
        </w:tc>
        <w:tc>
          <w:tcPr>
            <w:tcW w:w="1134"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spacing w:line="360" w:lineRule="auto"/>
              <w:jc w:val="center"/>
              <w:textAlignment w:val="center"/>
              <w:rPr>
                <w:rFonts w:asciiTheme="majorEastAsia" w:hAnsiTheme="majorEastAsia" w:eastAsiaTheme="majorEastAsia" w:cstheme="majorEastAsia"/>
                <w:kern w:val="0"/>
                <w:sz w:val="24"/>
                <w:szCs w:val="24"/>
                <w:lang w:bidi="ar"/>
              </w:rPr>
            </w:pPr>
            <w:r>
              <w:rPr>
                <w:rFonts w:hint="eastAsia" w:asciiTheme="majorEastAsia" w:hAnsiTheme="majorEastAsia" w:eastAsiaTheme="majorEastAsia" w:cstheme="majorEastAsia"/>
                <w:kern w:val="0"/>
                <w:sz w:val="24"/>
                <w:szCs w:val="24"/>
                <w:lang w:bidi="ar"/>
              </w:rPr>
              <w:t>34251.8</w:t>
            </w:r>
          </w:p>
        </w:tc>
      </w:tr>
    </w:tbl>
    <w:p>
      <w:pPr>
        <w:widowControl w:val="0"/>
        <w:rPr>
          <w:rFonts w:ascii="楷体" w:hAnsi="楷体" w:eastAsia="楷体" w:cs="楷体"/>
          <w:b/>
          <w:bCs/>
          <w:sz w:val="32"/>
          <w:szCs w:val="32"/>
        </w:rPr>
      </w:pPr>
    </w:p>
    <w:p>
      <w:pPr>
        <w:widowControl w:val="0"/>
        <w:ind w:firstLine="643" w:firstLineChars="200"/>
        <w:rPr>
          <w:rFonts w:ascii="楷体" w:hAnsi="楷体" w:eastAsia="楷体" w:cs="楷体"/>
          <w:b/>
          <w:bCs/>
          <w:sz w:val="32"/>
          <w:szCs w:val="32"/>
        </w:rPr>
      </w:pPr>
      <w:bookmarkStart w:id="88" w:name="_Toc8029_WPSOffice_Level2"/>
      <w:bookmarkStart w:id="89" w:name="_Toc1881_WPSOffice_Level2"/>
      <w:r>
        <w:rPr>
          <w:rFonts w:hint="eastAsia" w:ascii="楷体" w:hAnsi="楷体" w:eastAsia="楷体" w:cs="楷体"/>
          <w:b/>
          <w:bCs/>
          <w:sz w:val="32"/>
          <w:szCs w:val="32"/>
        </w:rPr>
        <w:t>6.2政策措施</w:t>
      </w:r>
      <w:bookmarkEnd w:id="88"/>
      <w:bookmarkEnd w:id="89"/>
    </w:p>
    <w:p>
      <w:pPr>
        <w:widowControl w:val="0"/>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加强职业教育发展保障。一是</w:t>
      </w:r>
      <w:r>
        <w:rPr>
          <w:rFonts w:hint="eastAsia" w:ascii="仿宋_GB2312" w:hAnsi="仿宋_GB2312" w:eastAsia="仿宋_GB2312" w:cs="仿宋_GB2312"/>
          <w:sz w:val="32"/>
          <w:szCs w:val="32"/>
        </w:rPr>
        <w:t>落实思政课程建设要求，召开教材工作专项会议，传达落实教育部、教育厅关于教材管理的相关要求，对全市57所中职学校和17所高校中专部教材使用情况进行全面调研和排查，进一步加强教材的规范使用与管理，确保全市中职教材符合国家要求。</w:t>
      </w:r>
      <w:r>
        <w:rPr>
          <w:rFonts w:hint="eastAsia" w:ascii="仿宋_GB2312" w:hAnsi="仿宋_GB2312" w:eastAsia="仿宋_GB2312" w:cs="仿宋_GB2312"/>
          <w:b/>
          <w:sz w:val="32"/>
          <w:szCs w:val="32"/>
        </w:rPr>
        <w:t>二是</w:t>
      </w:r>
      <w:r>
        <w:rPr>
          <w:rFonts w:hint="eastAsia" w:ascii="仿宋_GB2312" w:hAnsi="仿宋_GB2312" w:eastAsia="仿宋_GB2312" w:cs="仿宋_GB2312"/>
          <w:sz w:val="32"/>
          <w:szCs w:val="32"/>
        </w:rPr>
        <w:t>引领全市中职学校认真学习并深入贯彻《国家职业教育改革实施方案》《职业教育提质培优行动计划（2020-2023）年》《河南省职业教育改革实施方案》等文件精神，促进郑州市中等职业教育高质量发展。</w:t>
      </w:r>
      <w:r>
        <w:rPr>
          <w:rFonts w:hint="eastAsia" w:ascii="仿宋_GB2312" w:hAnsi="仿宋_GB2312" w:eastAsia="仿宋_GB2312" w:cs="仿宋_GB2312"/>
          <w:b/>
          <w:sz w:val="32"/>
          <w:szCs w:val="32"/>
        </w:rPr>
        <w:t>三是</w:t>
      </w:r>
      <w:r>
        <w:rPr>
          <w:rFonts w:hint="eastAsia" w:ascii="仿宋_GB2312" w:hAnsi="仿宋_GB2312" w:eastAsia="仿宋_GB2312" w:cs="仿宋_GB2312"/>
          <w:sz w:val="32"/>
          <w:szCs w:val="32"/>
        </w:rPr>
        <w:t>贯彻全国、省关于职业教育发展的政策文件，积极促进各项利好政策落地实施，促进《郑州市职业教育改革实施方案》顺利发布，为郑州市职业教育改革发展提供坚强保障。</w:t>
      </w:r>
    </w:p>
    <w:bookmarkEnd w:id="83"/>
    <w:p>
      <w:pPr>
        <w:widowControl w:val="0"/>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优化职业教育发展社会氛围。</w:t>
      </w:r>
      <w:r>
        <w:rPr>
          <w:rFonts w:hint="eastAsia" w:ascii="仿宋_GB2312" w:hAnsi="仿宋_GB2312" w:eastAsia="仿宋_GB2312" w:cs="仿宋_GB2312"/>
          <w:b/>
          <w:spacing w:val="8"/>
          <w:sz w:val="32"/>
          <w:szCs w:val="32"/>
          <w:shd w:val="clear" w:color="auto" w:fill="FFFFFF"/>
        </w:rPr>
        <w:t>一是</w:t>
      </w:r>
      <w:r>
        <w:rPr>
          <w:rFonts w:hint="eastAsia" w:ascii="仿宋_GB2312" w:hAnsi="仿宋_GB2312" w:eastAsia="仿宋_GB2312" w:cs="仿宋_GB2312"/>
          <w:spacing w:val="8"/>
          <w:sz w:val="32"/>
          <w:szCs w:val="32"/>
          <w:shd w:val="clear" w:color="auto" w:fill="FFFFFF"/>
        </w:rPr>
        <w:t>以弘扬“新时期产教融合育工匠”为主题，开展“郑州最美校园工匠”评选活动，通过网络投票、专家评选，2020年最终评选出10名最美校园工匠（8名教师、2名学生），在郑州教育电视台举办颁奖典礼和典型事迹宣传推广活动，大力弘扬工匠精神。</w:t>
      </w:r>
      <w:r>
        <w:rPr>
          <w:rFonts w:hint="eastAsia" w:ascii="仿宋_GB2312" w:hAnsi="仿宋_GB2312" w:eastAsia="仿宋_GB2312" w:cs="仿宋_GB2312"/>
          <w:b/>
          <w:spacing w:val="8"/>
          <w:sz w:val="32"/>
          <w:szCs w:val="32"/>
          <w:shd w:val="clear" w:color="auto" w:fill="FFFFFF"/>
        </w:rPr>
        <w:t>二是</w:t>
      </w:r>
      <w:r>
        <w:rPr>
          <w:rFonts w:hint="eastAsia" w:ascii="仿宋_GB2312" w:hAnsi="仿宋_GB2312" w:eastAsia="仿宋_GB2312" w:cs="仿宋_GB2312"/>
          <w:spacing w:val="8"/>
          <w:sz w:val="32"/>
          <w:szCs w:val="32"/>
          <w:shd w:val="clear" w:color="auto" w:fill="FFFFFF"/>
        </w:rPr>
        <w:t>组织学校开展2020年职业教育活动周系列活动，通过活动展示职业教育成果、展示郑州职业教育风采，营造人人尽展其才、人人皆可成才的良好社会氛围</w:t>
      </w:r>
      <w:r>
        <w:rPr>
          <w:rFonts w:hint="eastAsia" w:ascii="仿宋_GB2312" w:hAnsi="仿宋_GB2312" w:eastAsia="仿宋_GB2312" w:cs="仿宋_GB2312"/>
          <w:sz w:val="32"/>
          <w:szCs w:val="32"/>
        </w:rPr>
        <w:t>。</w:t>
      </w:r>
      <w:r>
        <w:rPr>
          <w:rFonts w:hint="eastAsia" w:ascii="仿宋_GB2312" w:hAnsi="仿宋_GB2312" w:eastAsia="仿宋_GB2312" w:cs="仿宋_GB2312"/>
          <w:b/>
          <w:sz w:val="32"/>
          <w:szCs w:val="32"/>
        </w:rPr>
        <w:t>三是</w:t>
      </w:r>
      <w:r>
        <w:rPr>
          <w:rFonts w:hint="eastAsia" w:ascii="仿宋_GB2312" w:hAnsi="仿宋_GB2312" w:eastAsia="仿宋_GB2312" w:cs="仿宋_GB2312"/>
          <w:sz w:val="32"/>
          <w:szCs w:val="32"/>
        </w:rPr>
        <w:t>创新中职招生宣传手段，受新冠疫情影响，中职招生宣传无法实施进校园宣传活动，各中职学校克服重重困难、创新招生手段，借助新媒体，广泛采用线上咨询与宣传的形式开展招生宣传工作。郑州市2020年中职招生咨询活动也改为线上进行，为广大初中毕业生提供了便利的咨询途径，得到社会好评，取得良好效果，我市中等职业学校2020年新生注册学籍人数7.6万人，超额完成省厅下达的招生任务的31.03%，职业教育社会吸引力不断增强。</w:t>
      </w:r>
    </w:p>
    <w:p>
      <w:pPr>
        <w:widowControl w:val="0"/>
        <w:jc w:val="center"/>
        <w:rPr>
          <w:rFonts w:ascii="黑体" w:hAnsi="黑体" w:eastAsia="黑体" w:cs="黑体"/>
          <w:sz w:val="36"/>
          <w:szCs w:val="36"/>
        </w:rPr>
      </w:pPr>
      <w:bookmarkStart w:id="90" w:name="_Toc27080"/>
    </w:p>
    <w:p>
      <w:pPr>
        <w:widowControl w:val="0"/>
        <w:jc w:val="center"/>
        <w:rPr>
          <w:rFonts w:ascii="黑体" w:hAnsi="黑体" w:eastAsia="黑体" w:cs="黑体"/>
          <w:sz w:val="36"/>
          <w:szCs w:val="36"/>
        </w:rPr>
      </w:pPr>
      <w:bookmarkStart w:id="91" w:name="_Toc4056_WPSOffice_Level1"/>
      <w:bookmarkStart w:id="92" w:name="_Toc16198_WPSOffice_Level1"/>
      <w:r>
        <w:rPr>
          <w:rFonts w:hint="eastAsia" w:ascii="黑体" w:hAnsi="黑体" w:eastAsia="黑体" w:cs="黑体"/>
          <w:sz w:val="36"/>
          <w:szCs w:val="36"/>
        </w:rPr>
        <w:t>第七部分  特色创新</w:t>
      </w:r>
      <w:bookmarkEnd w:id="90"/>
      <w:bookmarkEnd w:id="91"/>
      <w:bookmarkEnd w:id="92"/>
      <w:bookmarkStart w:id="93" w:name="_Toc11985"/>
    </w:p>
    <w:bookmarkEnd w:id="93"/>
    <w:p>
      <w:pPr>
        <w:keepNext/>
        <w:keepLines/>
        <w:numPr>
          <w:ilvl w:val="1"/>
          <w:numId w:val="0"/>
        </w:numPr>
        <w:spacing w:before="156" w:beforeLines="50" w:after="156" w:afterLines="50"/>
        <w:outlineLvl w:val="1"/>
        <w:rPr>
          <w:rFonts w:ascii="黑体" w:hAnsi="黑体" w:eastAsia="黑体" w:cs="仿宋_GB2312"/>
          <w:bCs/>
          <w:sz w:val="32"/>
          <w:szCs w:val="32"/>
        </w:rPr>
      </w:pPr>
      <w:bookmarkStart w:id="94" w:name="_Toc24672_WPSOffice_Level2"/>
      <w:bookmarkStart w:id="95" w:name="_Toc18410"/>
      <w:bookmarkStart w:id="96" w:name="_Toc6359_WPSOffice_Level2"/>
      <w:r>
        <w:rPr>
          <w:rFonts w:hint="eastAsia" w:ascii="黑体" w:hAnsi="黑体" w:eastAsia="黑体" w:cs="仿宋_GB2312"/>
          <w:bCs/>
          <w:sz w:val="32"/>
          <w:szCs w:val="32"/>
        </w:rPr>
        <w:t>案例一：</w:t>
      </w:r>
    </w:p>
    <w:p>
      <w:pPr>
        <w:widowControl w:val="0"/>
        <w:spacing w:line="360" w:lineRule="auto"/>
        <w:jc w:val="center"/>
        <w:rPr>
          <w:rFonts w:ascii="宋体" w:hAnsi="宋体" w:cstheme="minorBidi"/>
          <w:b/>
          <w:bCs/>
          <w:sz w:val="28"/>
          <w:szCs w:val="28"/>
          <w:lang w:bidi="en-US"/>
        </w:rPr>
      </w:pPr>
      <w:r>
        <w:rPr>
          <w:rFonts w:hint="eastAsia" w:ascii="方正小标宋简体" w:hAnsi="方正小标宋简体" w:eastAsia="方正小标宋简体" w:cs="方正小标宋简体"/>
          <w:sz w:val="36"/>
          <w:szCs w:val="36"/>
        </w:rPr>
        <w:t>信息化应用助推学校教育教学管理变革</w:t>
      </w:r>
    </w:p>
    <w:p>
      <w:pPr>
        <w:ind w:firstLine="3840" w:firstLineChars="1200"/>
        <w:rPr>
          <w:rFonts w:ascii="楷体" w:hAnsi="楷体" w:eastAsia="楷体" w:cs="楷体"/>
          <w:bCs/>
          <w:sz w:val="32"/>
          <w:szCs w:val="32"/>
          <w:lang w:bidi="ar"/>
        </w:rPr>
      </w:pPr>
      <w:r>
        <w:rPr>
          <w:rFonts w:hint="eastAsia" w:ascii="楷体" w:hAnsi="楷体" w:eastAsia="楷体" w:cs="楷体"/>
          <w:sz w:val="32"/>
          <w:szCs w:val="32"/>
        </w:rPr>
        <w:t>—— 郑州市金融学校</w:t>
      </w:r>
    </w:p>
    <w:p>
      <w:pPr>
        <w:widowControl w:val="0"/>
        <w:spacing w:line="360" w:lineRule="auto"/>
        <w:ind w:firstLine="640" w:firstLineChars="200"/>
        <w:jc w:val="left"/>
        <w:rPr>
          <w:rFonts w:ascii="仿宋" w:hAnsi="仿宋" w:eastAsia="仿宋" w:cstheme="minorBidi"/>
          <w:b/>
          <w:sz w:val="32"/>
          <w:szCs w:val="32"/>
          <w:lang w:bidi="en-US"/>
        </w:rPr>
      </w:pPr>
      <w:r>
        <w:rPr>
          <w:rFonts w:hint="eastAsia" w:ascii="仿宋" w:hAnsi="仿宋" w:eastAsia="仿宋" w:cstheme="minorBidi"/>
          <w:sz w:val="32"/>
          <w:szCs w:val="32"/>
          <w:lang w:bidi="en-US"/>
        </w:rPr>
        <w:t>郑州市金融学校以国家《教育信息化2.0行动计划》为指导，围绕“三全两高一大”目标总要求，落实郑州市智慧教育示范区建设目标，推进“互联网+教育”发展工程，打造大数据背景下模块较为齐全、功能较为完善的智慧校园，自主开发了学校综合管理系统，为学校教育教学、科研、后勤、招生、管理等提供有力的支撑，进一步提高了办学质量。主要实现了以下功能：</w:t>
      </w:r>
    </w:p>
    <w:p>
      <w:pPr>
        <w:widowControl w:val="0"/>
        <w:spacing w:line="360" w:lineRule="auto"/>
        <w:ind w:firstLine="640" w:firstLineChars="200"/>
        <w:jc w:val="left"/>
        <w:rPr>
          <w:rFonts w:ascii="黑体" w:hAnsi="黑体" w:eastAsia="黑体" w:cstheme="minorBidi"/>
          <w:sz w:val="32"/>
          <w:szCs w:val="32"/>
          <w:lang w:bidi="en-US"/>
        </w:rPr>
      </w:pPr>
      <w:r>
        <w:rPr>
          <w:rFonts w:hint="eastAsia" w:ascii="黑体" w:hAnsi="黑体" w:eastAsia="黑体" w:cstheme="minorBidi"/>
          <w:sz w:val="32"/>
          <w:szCs w:val="32"/>
          <w:lang w:bidi="en-US"/>
        </w:rPr>
        <w:t>一、建立信息标准，构建统一平台</w:t>
      </w:r>
    </w:p>
    <w:p>
      <w:pPr>
        <w:widowControl w:val="0"/>
        <w:spacing w:line="360" w:lineRule="auto"/>
        <w:ind w:firstLine="640" w:firstLineChars="200"/>
        <w:rPr>
          <w:rFonts w:ascii="仿宋" w:hAnsi="仿宋" w:eastAsia="仿宋" w:cstheme="minorBidi"/>
          <w:sz w:val="32"/>
          <w:szCs w:val="32"/>
          <w:lang w:bidi="en-US"/>
        </w:rPr>
      </w:pPr>
      <w:r>
        <w:rPr>
          <w:rFonts w:hint="eastAsia" w:ascii="仿宋" w:hAnsi="仿宋" w:eastAsia="仿宋" w:cstheme="minorBidi"/>
          <w:sz w:val="32"/>
          <w:szCs w:val="32"/>
          <w:lang w:bidi="en-US"/>
        </w:rPr>
        <w:t>建立统一数据中心为整个数字化校园的数据提供集中存储、交换、传输的平台，保证数据的一致性和即时性，实现各业务系统之间的资源共享，并依据信息化标准规范体系建立的对接规范，为新业务系统的接入提供规范接口。有效管理大量交叉数据，提供了多种数据访问的手段，为学校领导和有关部门信息利用、分析决策提供支持，为学校的长远发展奠定坚实基础。</w:t>
      </w:r>
    </w:p>
    <w:p>
      <w:pPr>
        <w:widowControl w:val="0"/>
        <w:spacing w:line="360" w:lineRule="auto"/>
        <w:jc w:val="center"/>
        <w:rPr>
          <w:rFonts w:ascii="宋体" w:hAnsi="宋体" w:cstheme="minorBidi"/>
          <w:sz w:val="28"/>
          <w:szCs w:val="28"/>
          <w:lang w:bidi="en-US"/>
        </w:rPr>
      </w:pPr>
      <w:r>
        <w:rPr>
          <w:rFonts w:hint="eastAsia" w:ascii="宋体" w:hAnsi="宋体" w:cstheme="minorBidi"/>
          <w:sz w:val="28"/>
          <w:szCs w:val="28"/>
        </w:rPr>
        <w:drawing>
          <wp:inline distT="0" distB="0" distL="114300" distR="114300">
            <wp:extent cx="4400550" cy="2543175"/>
            <wp:effectExtent l="0" t="0" r="0" b="9525"/>
            <wp:docPr id="21" name="图片 21" descr="d22fbe74fa6ca5937671dff8d675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22fbe74fa6ca5937671dff8d6757c0"/>
                    <pic:cNvPicPr>
                      <a:picLocks noChangeAspect="1"/>
                    </pic:cNvPicPr>
                  </pic:nvPicPr>
                  <pic:blipFill>
                    <a:blip r:embed="rId19"/>
                    <a:stretch>
                      <a:fillRect/>
                    </a:stretch>
                  </pic:blipFill>
                  <pic:spPr>
                    <a:xfrm>
                      <a:off x="0" y="0"/>
                      <a:ext cx="4401156" cy="2543525"/>
                    </a:xfrm>
                    <a:prstGeom prst="rect">
                      <a:avLst/>
                    </a:prstGeom>
                  </pic:spPr>
                </pic:pic>
              </a:graphicData>
            </a:graphic>
          </wp:inline>
        </w:drawing>
      </w:r>
    </w:p>
    <w:p>
      <w:pPr>
        <w:widowControl w:val="0"/>
        <w:spacing w:line="360" w:lineRule="auto"/>
        <w:jc w:val="center"/>
        <w:rPr>
          <w:rFonts w:ascii="宋体" w:hAnsi="宋体" w:cstheme="minorBidi"/>
          <w:sz w:val="28"/>
          <w:szCs w:val="28"/>
          <w:lang w:bidi="en-US"/>
        </w:rPr>
      </w:pPr>
      <w:r>
        <w:rPr>
          <w:rFonts w:hint="eastAsia" w:ascii="宋体" w:hAnsi="宋体" w:cstheme="minorBidi"/>
          <w:sz w:val="28"/>
          <w:szCs w:val="28"/>
          <w:lang w:bidi="en-US"/>
        </w:rPr>
        <w:t>大数据分析中心</w:t>
      </w:r>
    </w:p>
    <w:p>
      <w:pPr>
        <w:widowControl w:val="0"/>
        <w:spacing w:line="360" w:lineRule="auto"/>
        <w:ind w:firstLine="640" w:firstLineChars="200"/>
        <w:jc w:val="left"/>
        <w:rPr>
          <w:rFonts w:ascii="黑体" w:hAnsi="黑体" w:eastAsia="黑体" w:cstheme="minorBidi"/>
          <w:bCs/>
          <w:sz w:val="32"/>
          <w:szCs w:val="32"/>
          <w:lang w:bidi="en-US"/>
        </w:rPr>
      </w:pPr>
      <w:r>
        <w:rPr>
          <w:rFonts w:hint="eastAsia" w:ascii="黑体" w:hAnsi="黑体" w:eastAsia="黑体" w:cstheme="minorBidi"/>
          <w:bCs/>
          <w:sz w:val="32"/>
          <w:szCs w:val="32"/>
          <w:lang w:bidi="en-US"/>
        </w:rPr>
        <w:t>二、建设智慧校园，开启家校互动的新模式</w:t>
      </w:r>
    </w:p>
    <w:p>
      <w:pPr>
        <w:widowControl w:val="0"/>
        <w:spacing w:line="360" w:lineRule="auto"/>
        <w:ind w:firstLine="640" w:firstLineChars="200"/>
        <w:jc w:val="left"/>
        <w:rPr>
          <w:rFonts w:ascii="仿宋" w:hAnsi="仿宋" w:eastAsia="仿宋" w:cstheme="minorBidi"/>
          <w:sz w:val="32"/>
          <w:szCs w:val="32"/>
          <w:lang w:bidi="en-US"/>
        </w:rPr>
      </w:pPr>
      <w:r>
        <w:rPr>
          <w:rFonts w:hint="eastAsia" w:ascii="仿宋" w:hAnsi="仿宋" w:eastAsia="仿宋" w:cstheme="minorBidi"/>
          <w:sz w:val="32"/>
          <w:szCs w:val="32"/>
          <w:lang w:bidi="en-US"/>
        </w:rPr>
        <w:t>建设基于微信的智慧校园大数据平台，全面覆盖全校师生和家长7000多人，每天都有大量的数据在家校之间互通，每一个通知和活动都记录有家长和学生的身影。在班级管理中，我们规定每周都要有家校互动，通过通知、相册、新闻动态等方式向学生和家长推送学校的每一项活动、每一项措施，也可以参与评论，提出意见和建议，参与到班级管理中来，深受家长好评。</w:t>
      </w:r>
    </w:p>
    <w:p>
      <w:pPr>
        <w:widowControl w:val="0"/>
        <w:spacing w:line="360" w:lineRule="auto"/>
        <w:jc w:val="center"/>
        <w:rPr>
          <w:rFonts w:ascii="宋体" w:hAnsi="宋体" w:cstheme="minorBidi"/>
          <w:sz w:val="28"/>
          <w:szCs w:val="28"/>
          <w:lang w:bidi="en-US"/>
        </w:rPr>
      </w:pPr>
      <w:r>
        <w:rPr>
          <w:rFonts w:hint="eastAsia" w:ascii="宋体" w:hAnsi="宋体" w:cstheme="minorBidi"/>
          <w:sz w:val="28"/>
          <w:szCs w:val="28"/>
        </w:rPr>
        <w:drawing>
          <wp:inline distT="0" distB="0" distL="114300" distR="114300">
            <wp:extent cx="4505325" cy="2371725"/>
            <wp:effectExtent l="0" t="0" r="9525" b="9525"/>
            <wp:docPr id="22" name="图片 22" descr="智慧校园电脑端应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智慧校园电脑端应用"/>
                    <pic:cNvPicPr>
                      <a:picLocks noChangeAspect="1"/>
                    </pic:cNvPicPr>
                  </pic:nvPicPr>
                  <pic:blipFill>
                    <a:blip r:embed="rId20"/>
                    <a:srcRect l="11435" t="1937" r="11632" b="60486"/>
                    <a:stretch>
                      <a:fillRect/>
                    </a:stretch>
                  </pic:blipFill>
                  <pic:spPr>
                    <a:xfrm>
                      <a:off x="0" y="0"/>
                      <a:ext cx="4508150" cy="2373212"/>
                    </a:xfrm>
                    <a:prstGeom prst="rect">
                      <a:avLst/>
                    </a:prstGeom>
                  </pic:spPr>
                </pic:pic>
              </a:graphicData>
            </a:graphic>
          </wp:inline>
        </w:drawing>
      </w:r>
    </w:p>
    <w:p>
      <w:pPr>
        <w:widowControl w:val="0"/>
        <w:spacing w:line="360" w:lineRule="auto"/>
        <w:jc w:val="center"/>
        <w:rPr>
          <w:rFonts w:ascii="宋体" w:hAnsi="宋体" w:cstheme="minorBidi"/>
          <w:sz w:val="28"/>
          <w:szCs w:val="28"/>
          <w:lang w:bidi="en-US"/>
        </w:rPr>
      </w:pPr>
      <w:r>
        <w:rPr>
          <w:rFonts w:hint="eastAsia" w:ascii="宋体" w:hAnsi="宋体" w:cstheme="minorBidi"/>
          <w:sz w:val="28"/>
          <w:szCs w:val="28"/>
          <w:lang w:bidi="en-US"/>
        </w:rPr>
        <w:t>智慧校园</w:t>
      </w:r>
    </w:p>
    <w:p>
      <w:pPr>
        <w:widowControl w:val="0"/>
        <w:spacing w:line="360" w:lineRule="auto"/>
        <w:ind w:firstLine="640" w:firstLineChars="200"/>
        <w:jc w:val="left"/>
        <w:rPr>
          <w:rFonts w:ascii="黑体" w:hAnsi="黑体" w:eastAsia="黑体" w:cstheme="minorBidi"/>
          <w:bCs/>
          <w:sz w:val="32"/>
          <w:szCs w:val="32"/>
          <w:lang w:bidi="en-US"/>
        </w:rPr>
      </w:pPr>
      <w:r>
        <w:rPr>
          <w:rFonts w:hint="eastAsia" w:ascii="黑体" w:hAnsi="黑体" w:eastAsia="黑体" w:cstheme="minorBidi"/>
          <w:bCs/>
          <w:sz w:val="32"/>
          <w:szCs w:val="32"/>
          <w:lang w:bidi="en-US"/>
        </w:rPr>
        <w:t>三、充分利用信息化手段，提供学生服务新举措</w:t>
      </w:r>
    </w:p>
    <w:p>
      <w:pPr>
        <w:widowControl w:val="0"/>
        <w:spacing w:line="360" w:lineRule="auto"/>
        <w:ind w:firstLine="640" w:firstLineChars="200"/>
        <w:jc w:val="left"/>
        <w:rPr>
          <w:rFonts w:ascii="仿宋" w:hAnsi="仿宋" w:eastAsia="仿宋" w:cstheme="minorBidi"/>
          <w:sz w:val="32"/>
          <w:szCs w:val="32"/>
          <w:lang w:bidi="en-US"/>
        </w:rPr>
      </w:pPr>
      <w:r>
        <w:rPr>
          <w:rFonts w:hint="eastAsia" w:ascii="仿宋" w:hAnsi="仿宋" w:eastAsia="仿宋" w:cstheme="minorBidi"/>
          <w:sz w:val="32"/>
          <w:szCs w:val="32"/>
          <w:lang w:bidi="en-US"/>
        </w:rPr>
        <w:t>新生报到使用迎新系统，实现了一站式服务。新生报名时即采集基本信息，关注智慧校园，报到前即可收到分班、分宿舍等信息，学生和家长凭此信息直接到校报到，省心、方便、快捷。学生评教也实现了信息化，学生用手机在智慧校园中直接对任课教师进行评价，实现评价参与率100%，每个学期评教评学数据超过20000条，系统从中汇总分析出所有任课教师的评价得分。学分系统对学生的学业状况进行汇总分析，通过智慧校园可以查看本人的成绩和所得学分，以及本人优势科目和劣势科目，进而在学习中扬长避短，有所侧重。</w:t>
      </w:r>
    </w:p>
    <w:p>
      <w:pPr>
        <w:widowControl w:val="0"/>
        <w:spacing w:line="360" w:lineRule="auto"/>
        <w:jc w:val="center"/>
        <w:rPr>
          <w:rFonts w:ascii="宋体" w:hAnsi="宋体" w:cstheme="minorBidi"/>
          <w:sz w:val="28"/>
          <w:szCs w:val="28"/>
          <w:lang w:bidi="en-US"/>
        </w:rPr>
      </w:pPr>
      <w:r>
        <w:rPr>
          <w:rFonts w:hint="eastAsia" w:ascii="宋体" w:hAnsi="宋体" w:cstheme="minorBidi"/>
          <w:sz w:val="28"/>
          <w:szCs w:val="28"/>
        </w:rPr>
        <w:drawing>
          <wp:inline distT="0" distB="0" distL="114300" distR="114300">
            <wp:extent cx="4591050" cy="2466975"/>
            <wp:effectExtent l="0" t="0" r="0" b="9525"/>
            <wp:docPr id="25" name="图片 25" descr="分班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分班级"/>
                    <pic:cNvPicPr>
                      <a:picLocks noChangeAspect="1"/>
                    </pic:cNvPicPr>
                  </pic:nvPicPr>
                  <pic:blipFill>
                    <a:blip r:embed="rId21"/>
                    <a:stretch>
                      <a:fillRect/>
                    </a:stretch>
                  </pic:blipFill>
                  <pic:spPr>
                    <a:xfrm>
                      <a:off x="0" y="0"/>
                      <a:ext cx="4587737" cy="2465195"/>
                    </a:xfrm>
                    <a:prstGeom prst="rect">
                      <a:avLst/>
                    </a:prstGeom>
                  </pic:spPr>
                </pic:pic>
              </a:graphicData>
            </a:graphic>
          </wp:inline>
        </w:drawing>
      </w:r>
    </w:p>
    <w:p>
      <w:pPr>
        <w:widowControl w:val="0"/>
        <w:spacing w:line="360" w:lineRule="auto"/>
        <w:jc w:val="center"/>
        <w:rPr>
          <w:rFonts w:ascii="宋体" w:hAnsi="宋体" w:cstheme="minorBidi"/>
          <w:sz w:val="28"/>
          <w:szCs w:val="28"/>
          <w:lang w:bidi="en-US"/>
        </w:rPr>
      </w:pPr>
      <w:r>
        <w:rPr>
          <w:rFonts w:hint="eastAsia" w:ascii="宋体" w:hAnsi="宋体" w:cstheme="minorBidi"/>
          <w:sz w:val="28"/>
          <w:szCs w:val="28"/>
          <w:lang w:bidi="en-US"/>
        </w:rPr>
        <w:t>迎新系统</w:t>
      </w:r>
    </w:p>
    <w:p>
      <w:pPr>
        <w:widowControl w:val="0"/>
        <w:spacing w:line="360" w:lineRule="auto"/>
        <w:ind w:firstLine="640" w:firstLineChars="200"/>
        <w:jc w:val="left"/>
        <w:rPr>
          <w:rFonts w:ascii="黑体" w:hAnsi="黑体" w:eastAsia="黑体" w:cstheme="minorBidi"/>
          <w:bCs/>
          <w:sz w:val="32"/>
          <w:szCs w:val="32"/>
          <w:lang w:bidi="en-US"/>
        </w:rPr>
      </w:pPr>
      <w:r>
        <w:rPr>
          <w:rFonts w:hint="eastAsia" w:ascii="黑体" w:hAnsi="黑体" w:eastAsia="黑体" w:cstheme="minorBidi"/>
          <w:bCs/>
          <w:sz w:val="32"/>
          <w:szCs w:val="32"/>
          <w:lang w:bidi="en-US"/>
        </w:rPr>
        <w:t>四、自主开发综合管理系统，全面提升教育教学管理效率</w:t>
      </w:r>
    </w:p>
    <w:p>
      <w:pPr>
        <w:widowControl w:val="0"/>
        <w:spacing w:line="360" w:lineRule="auto"/>
        <w:ind w:firstLine="640" w:firstLineChars="200"/>
        <w:jc w:val="left"/>
        <w:rPr>
          <w:rFonts w:ascii="仿宋" w:hAnsi="仿宋" w:eastAsia="仿宋" w:cstheme="minorBidi"/>
          <w:sz w:val="32"/>
          <w:szCs w:val="32"/>
          <w:lang w:bidi="en-US"/>
        </w:rPr>
      </w:pPr>
      <w:r>
        <w:rPr>
          <w:rFonts w:hint="eastAsia" w:ascii="仿宋" w:hAnsi="仿宋" w:eastAsia="仿宋" w:cstheme="minorBidi"/>
          <w:sz w:val="32"/>
          <w:szCs w:val="32"/>
          <w:lang w:bidi="en-US"/>
        </w:rPr>
        <w:t>为解决老学分系统不更新、问题不断的难题，学校信息中心决定自主开发综合管理系统，将学分系统与办公系统结合起来，于2019年1月投入试运行。两年来通过不断地开发和完善，实现完美兼容电脑端和移动端，随时随地便捷访问，简单实用，并融于智慧校园，起到了完善学生评价体系，提高教育教学质量，提升学校管理效率，彰显学校办学特色的作用，促进了学校教育教学管理方式的变革。</w:t>
      </w:r>
    </w:p>
    <w:p>
      <w:pPr>
        <w:widowControl w:val="0"/>
        <w:spacing w:line="360" w:lineRule="auto"/>
        <w:jc w:val="center"/>
        <w:rPr>
          <w:rFonts w:ascii="宋体" w:hAnsi="宋体" w:cstheme="minorBidi"/>
          <w:sz w:val="28"/>
          <w:szCs w:val="28"/>
          <w:lang w:bidi="en-US"/>
        </w:rPr>
      </w:pPr>
      <w:r>
        <w:rPr>
          <w:rFonts w:hint="eastAsia" w:ascii="宋体" w:hAnsi="宋体" w:cstheme="minorBidi"/>
          <w:sz w:val="28"/>
          <w:szCs w:val="28"/>
        </w:rPr>
        <w:drawing>
          <wp:inline distT="0" distB="0" distL="114300" distR="114300">
            <wp:extent cx="4648200" cy="2419350"/>
            <wp:effectExtent l="0" t="0" r="0" b="0"/>
            <wp:docPr id="26" name="图片 26" descr="综合管理系统 管理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综合管理系统 管理首页"/>
                    <pic:cNvPicPr>
                      <a:picLocks noChangeAspect="1"/>
                    </pic:cNvPicPr>
                  </pic:nvPicPr>
                  <pic:blipFill>
                    <a:blip r:embed="rId22"/>
                    <a:stretch>
                      <a:fillRect/>
                    </a:stretch>
                  </pic:blipFill>
                  <pic:spPr>
                    <a:xfrm>
                      <a:off x="0" y="0"/>
                      <a:ext cx="4654300" cy="2422525"/>
                    </a:xfrm>
                    <a:prstGeom prst="rect">
                      <a:avLst/>
                    </a:prstGeom>
                  </pic:spPr>
                </pic:pic>
              </a:graphicData>
            </a:graphic>
          </wp:inline>
        </w:drawing>
      </w:r>
    </w:p>
    <w:p>
      <w:pPr>
        <w:widowControl w:val="0"/>
        <w:spacing w:line="360" w:lineRule="auto"/>
        <w:jc w:val="center"/>
        <w:rPr>
          <w:rFonts w:ascii="宋体" w:hAnsi="宋体" w:cstheme="minorBidi"/>
          <w:sz w:val="28"/>
          <w:szCs w:val="28"/>
          <w:lang w:bidi="en-US"/>
        </w:rPr>
      </w:pPr>
      <w:r>
        <w:rPr>
          <w:rFonts w:hint="eastAsia" w:ascii="宋体" w:hAnsi="宋体" w:cstheme="minorBidi"/>
          <w:sz w:val="28"/>
          <w:szCs w:val="28"/>
          <w:lang w:bidi="en-US"/>
        </w:rPr>
        <w:t>综合管理系统</w:t>
      </w:r>
    </w:p>
    <w:p>
      <w:pPr>
        <w:widowControl w:val="0"/>
        <w:spacing w:line="360" w:lineRule="auto"/>
        <w:ind w:firstLine="640" w:firstLineChars="200"/>
        <w:jc w:val="left"/>
        <w:rPr>
          <w:rFonts w:ascii="黑体" w:hAnsi="黑体" w:eastAsia="黑体" w:cstheme="minorBidi"/>
          <w:bCs/>
          <w:sz w:val="32"/>
          <w:szCs w:val="32"/>
          <w:lang w:bidi="en-US"/>
        </w:rPr>
      </w:pPr>
      <w:r>
        <w:rPr>
          <w:rFonts w:hint="eastAsia" w:ascii="黑体" w:hAnsi="黑体" w:eastAsia="黑体" w:cstheme="minorBidi"/>
          <w:bCs/>
          <w:sz w:val="32"/>
          <w:szCs w:val="32"/>
          <w:lang w:bidi="en-US"/>
        </w:rPr>
        <w:t>五、打造特色应用系统，实现高效便捷信息服务</w:t>
      </w:r>
    </w:p>
    <w:p>
      <w:pPr>
        <w:widowControl w:val="0"/>
        <w:spacing w:line="360" w:lineRule="auto"/>
        <w:ind w:firstLine="640" w:firstLineChars="200"/>
        <w:jc w:val="left"/>
        <w:rPr>
          <w:rFonts w:ascii="仿宋" w:hAnsi="仿宋" w:eastAsia="仿宋" w:cstheme="minorBidi"/>
          <w:sz w:val="32"/>
          <w:szCs w:val="32"/>
          <w:lang w:bidi="en-US"/>
        </w:rPr>
      </w:pPr>
      <w:r>
        <w:rPr>
          <w:rFonts w:hint="eastAsia" w:ascii="仿宋" w:hAnsi="仿宋" w:eastAsia="仿宋" w:cstheme="minorBidi"/>
          <w:sz w:val="32"/>
          <w:szCs w:val="32"/>
          <w:lang w:bidi="en-US"/>
        </w:rPr>
        <w:t>根据需求定制开发特色应用系统，完全契合学校管理，切实提高办公效率和管理效能。排课系统有效地解决了排课冲突问题，避免了漏排或重排，还可以方便地进行调课，直接生成班级课表、教师课表和全校总课表，全校师生都可以方便地查看课表，并支持课表打印和批量打印。社团管理系统实现了社团管理、加入社团、成员审核、导出名单、导入学分、活动记录等功能，极大地促进了社团活动的信息化和便利性。精心设计了基于证书管理的教师档案管理系统，教师上传本人的各类证书，通过管理员审核，即可自动生成教师档案信息和教师业绩库，并能很方便地查询导出。宿舍管理系统能实现住校生管理、宿舍分配和调换、住宿信息统计和导出等功能，极大提高了宿舍管理效率。</w:t>
      </w:r>
    </w:p>
    <w:p>
      <w:pPr>
        <w:widowControl w:val="0"/>
        <w:spacing w:line="360" w:lineRule="auto"/>
        <w:jc w:val="center"/>
        <w:rPr>
          <w:rFonts w:ascii="宋体" w:hAnsi="宋体" w:cstheme="minorBidi"/>
          <w:sz w:val="28"/>
          <w:szCs w:val="28"/>
          <w:lang w:bidi="en-US"/>
        </w:rPr>
      </w:pPr>
      <w:r>
        <w:rPr>
          <w:rFonts w:hint="eastAsia" w:ascii="宋体" w:hAnsi="宋体" w:cstheme="minorBidi"/>
          <w:sz w:val="28"/>
          <w:szCs w:val="28"/>
        </w:rPr>
        <w:drawing>
          <wp:inline distT="0" distB="0" distL="114300" distR="114300">
            <wp:extent cx="4354830" cy="2717165"/>
            <wp:effectExtent l="0" t="0" r="7620" b="6985"/>
            <wp:docPr id="27" name="图片 27" descr="排课系统1 排课调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排课系统1 排课调课"/>
                    <pic:cNvPicPr>
                      <a:picLocks noChangeAspect="1"/>
                    </pic:cNvPicPr>
                  </pic:nvPicPr>
                  <pic:blipFill>
                    <a:blip r:embed="rId23"/>
                    <a:stretch>
                      <a:fillRect/>
                    </a:stretch>
                  </pic:blipFill>
                  <pic:spPr>
                    <a:xfrm>
                      <a:off x="0" y="0"/>
                      <a:ext cx="4367243" cy="2725088"/>
                    </a:xfrm>
                    <a:prstGeom prst="rect">
                      <a:avLst/>
                    </a:prstGeom>
                  </pic:spPr>
                </pic:pic>
              </a:graphicData>
            </a:graphic>
          </wp:inline>
        </w:drawing>
      </w:r>
    </w:p>
    <w:p>
      <w:pPr>
        <w:widowControl w:val="0"/>
        <w:spacing w:line="360" w:lineRule="auto"/>
        <w:jc w:val="center"/>
        <w:rPr>
          <w:rFonts w:ascii="宋体" w:hAnsi="宋体" w:cstheme="minorBidi"/>
          <w:sz w:val="28"/>
          <w:szCs w:val="28"/>
          <w:lang w:bidi="en-US"/>
        </w:rPr>
      </w:pPr>
      <w:r>
        <w:rPr>
          <w:rFonts w:hint="eastAsia" w:ascii="宋体" w:hAnsi="宋体" w:cstheme="minorBidi"/>
          <w:sz w:val="28"/>
          <w:szCs w:val="28"/>
          <w:lang w:bidi="en-US"/>
        </w:rPr>
        <w:t>排课系统</w:t>
      </w:r>
    </w:p>
    <w:p>
      <w:pPr>
        <w:widowControl w:val="0"/>
        <w:spacing w:line="360" w:lineRule="auto"/>
        <w:ind w:firstLine="640" w:firstLineChars="200"/>
        <w:jc w:val="left"/>
        <w:rPr>
          <w:rFonts w:ascii="黑体" w:hAnsi="黑体" w:eastAsia="黑体" w:cstheme="minorBidi"/>
          <w:bCs/>
          <w:sz w:val="32"/>
          <w:szCs w:val="32"/>
          <w:lang w:bidi="en-US"/>
        </w:rPr>
      </w:pPr>
      <w:r>
        <w:rPr>
          <w:rFonts w:hint="eastAsia" w:ascii="黑体" w:hAnsi="黑体" w:eastAsia="黑体" w:cstheme="minorBidi"/>
          <w:bCs/>
          <w:sz w:val="32"/>
          <w:szCs w:val="32"/>
          <w:lang w:bidi="en-US"/>
        </w:rPr>
        <w:t>六、建立大数据平台，为学校发展提供决策支持</w:t>
      </w:r>
    </w:p>
    <w:p>
      <w:pPr>
        <w:widowControl w:val="0"/>
        <w:spacing w:line="360" w:lineRule="auto"/>
        <w:ind w:firstLine="640" w:firstLineChars="200"/>
        <w:jc w:val="left"/>
        <w:rPr>
          <w:rFonts w:ascii="仿宋" w:hAnsi="仿宋" w:eastAsia="仿宋" w:cstheme="minorBidi"/>
          <w:sz w:val="32"/>
          <w:szCs w:val="32"/>
          <w:lang w:bidi="en-US"/>
        </w:rPr>
      </w:pPr>
      <w:r>
        <w:rPr>
          <w:rFonts w:hint="eastAsia" w:ascii="仿宋" w:hAnsi="仿宋" w:eastAsia="仿宋" w:cstheme="minorBidi"/>
          <w:sz w:val="32"/>
          <w:szCs w:val="32"/>
          <w:lang w:bidi="en-US"/>
        </w:rPr>
        <w:t>学校基于智慧校园大数据,整合各类信息数据，利用大数据强大的数据分析能力，构建了智慧校园大数据分析决策平台系统。大数据决策平台，以学生成长为核心，为学生成长、教师发展和学校管理提供精细化决策支持，创新育人模式，提升办学质量，以达到“立德树人”的根本任务。</w:t>
      </w:r>
    </w:p>
    <w:p>
      <w:pPr>
        <w:rPr>
          <w:lang w:bidi="en-US"/>
        </w:rPr>
      </w:pPr>
    </w:p>
    <w:p>
      <w:pPr>
        <w:pStyle w:val="2"/>
        <w:numPr>
          <w:ilvl w:val="1"/>
          <w:numId w:val="0"/>
        </w:numPr>
        <w:spacing w:before="156" w:after="156"/>
        <w:jc w:val="both"/>
        <w:rPr>
          <w:rFonts w:ascii="黑体" w:hAnsi="黑体" w:cs="仿宋_GB2312"/>
          <w:bCs/>
          <w:sz w:val="32"/>
        </w:rPr>
      </w:pPr>
      <w:r>
        <w:rPr>
          <w:rFonts w:hint="eastAsia" w:ascii="黑体" w:hAnsi="黑体" w:cs="仿宋_GB2312"/>
          <w:bCs/>
          <w:sz w:val="32"/>
        </w:rPr>
        <w:t>案例二：</w:t>
      </w:r>
    </w:p>
    <w:p>
      <w:pPr>
        <w:pStyle w:val="2"/>
        <w:numPr>
          <w:ilvl w:val="1"/>
          <w:numId w:val="0"/>
        </w:numPr>
        <w:spacing w:before="156" w:after="156"/>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 xml:space="preserve">与时代发展同频共振  实训改革展职教风采                          </w:t>
      </w:r>
    </w:p>
    <w:p>
      <w:pPr>
        <w:ind w:firstLine="3840" w:firstLineChars="1200"/>
        <w:rPr>
          <w:rFonts w:ascii="楷体" w:hAnsi="楷体" w:eastAsia="楷体" w:cs="楷体"/>
          <w:bCs/>
          <w:sz w:val="32"/>
          <w:szCs w:val="32"/>
          <w:lang w:bidi="ar"/>
        </w:rPr>
      </w:pPr>
      <w:r>
        <w:rPr>
          <w:rFonts w:hint="eastAsia" w:ascii="楷体" w:hAnsi="楷体" w:eastAsia="楷体" w:cs="楷体"/>
          <w:sz w:val="32"/>
          <w:szCs w:val="32"/>
        </w:rPr>
        <w:t>—— 郑州市经济贸易学校</w:t>
      </w:r>
    </w:p>
    <w:p>
      <w:pPr>
        <w:pStyle w:val="12"/>
        <w:shd w:val="clear" w:color="auto" w:fill="FFFFFF"/>
        <w:spacing w:before="0" w:beforeAutospacing="0" w:after="0" w:afterAutospacing="0" w:line="315" w:lineRule="atLeas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2019年郑州市经济贸易学校电子商务高水平专业群获批，学校创造性地提出圆融中心建设理念，融合建设、融合教学、融合实训、融合发展，建设电子商务专业为主，市场营销为辅，会计和物流为支撑的电商专业群，我们用“实训改革”向时代致敬。</w:t>
      </w:r>
    </w:p>
    <w:p>
      <w:pPr>
        <w:pStyle w:val="12"/>
        <w:shd w:val="clear" w:color="auto" w:fill="FFFFFF"/>
        <w:spacing w:before="0" w:beforeAutospacing="0" w:after="0" w:afterAutospacing="0" w:line="315" w:lineRule="atLeast"/>
        <w:ind w:firstLine="640" w:firstLineChars="200"/>
        <w:rPr>
          <w:rFonts w:ascii="黑体" w:hAnsi="黑体" w:eastAsia="黑体"/>
          <w:color w:val="333333"/>
          <w:sz w:val="32"/>
          <w:szCs w:val="32"/>
        </w:rPr>
      </w:pPr>
      <w:r>
        <w:rPr>
          <w:rFonts w:hint="eastAsia" w:ascii="黑体" w:hAnsi="黑体" w:eastAsia="黑体"/>
          <w:color w:val="333333"/>
          <w:sz w:val="32"/>
          <w:szCs w:val="32"/>
        </w:rPr>
        <w:t>一、新媒体工作室敞开大门，展学校风采</w:t>
      </w:r>
    </w:p>
    <w:p>
      <w:pPr>
        <w:pStyle w:val="12"/>
        <w:shd w:val="clear" w:color="auto" w:fill="FFFFFF"/>
        <w:spacing w:before="0" w:beforeAutospacing="0" w:after="0" w:afterAutospacing="0" w:line="315" w:lineRule="atLeas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教育部长陈宝生谈职业教育时提出要高看一眼，厚爱一分。给我们指出“四个把，六个起来，七个像”方向。把学科建在产业链上，把学校建在开发区里，把工匠精神刻在学生心中，把创新意识融入学生血液，把专业建在产业链上，才能了解产业发展的现状；学校建在开发区里，才知道开发区人才需求的动向，知道需求，才能提供供给。郑州市经济贸易学校在校内建立新媒体工作室，通过专业的知识，新型的手段将我们的职业教育理念宣传出去。</w:t>
      </w:r>
    </w:p>
    <w:p>
      <w:pPr>
        <w:pStyle w:val="12"/>
        <w:shd w:val="clear" w:color="auto" w:fill="FFFFFF"/>
        <w:spacing w:before="0" w:beforeAutospacing="0" w:after="0" w:afterAutospacing="0" w:line="315" w:lineRule="atLeas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从新媒体工作室成立后，承接了学校和社会活动的线上传播推广运营，如学校举行的18岁成人礼、郑州市化妆师比赛等活动的线上推广运营，通过摸索，工作室逐步形成公众号运营、短视频制作、活动传播支持三大特色。并在2019年师生自编自导自演了一部网红微电影《职校体验记》这部微电影采用学生、老师、家长三方角色互换体验的形式来展示职业学校生活中的酸甜苦辣，旨在让学生“在享受权利的同时感受义务，在品味艰辛的同时体会幸福”。</w:t>
      </w:r>
    </w:p>
    <w:p>
      <w:pPr>
        <w:pStyle w:val="12"/>
        <w:shd w:val="clear" w:color="auto" w:fill="FFFFFF"/>
        <w:spacing w:before="0" w:beforeAutospacing="0" w:after="0" w:afterAutospacing="0" w:line="315" w:lineRule="atLeast"/>
        <w:jc w:val="center"/>
        <w:rPr>
          <w:rFonts w:ascii="楷体" w:hAnsi="楷体" w:eastAsia="楷体"/>
          <w:color w:val="333333"/>
          <w:sz w:val="28"/>
          <w:szCs w:val="28"/>
        </w:rPr>
      </w:pPr>
      <w:r>
        <w:rPr>
          <w:rFonts w:hint="eastAsia" w:ascii="楷体" w:hAnsi="楷体" w:eastAsia="楷体"/>
          <w:color w:val="333333"/>
          <w:sz w:val="28"/>
          <w:szCs w:val="28"/>
        </w:rPr>
        <w:t>学生实训场景</w:t>
      </w:r>
    </w:p>
    <w:p>
      <w:pPr>
        <w:pStyle w:val="12"/>
        <w:shd w:val="clear" w:color="auto" w:fill="FFFFFF"/>
        <w:spacing w:before="0" w:beforeAutospacing="0" w:after="0" w:afterAutospacing="0" w:line="315" w:lineRule="atLeast"/>
        <w:rPr>
          <w:rFonts w:ascii="微软雅黑" w:hAnsi="微软雅黑" w:eastAsia="微软雅黑"/>
          <w:color w:val="333333"/>
          <w:sz w:val="21"/>
          <w:szCs w:val="21"/>
        </w:rPr>
      </w:pPr>
      <w:r>
        <w:rPr>
          <w:color w:val="333333"/>
        </w:rPr>
        <w:drawing>
          <wp:inline distT="0" distB="0" distL="0" distR="0">
            <wp:extent cx="2703195" cy="1804670"/>
            <wp:effectExtent l="0" t="0" r="1905" b="5080"/>
            <wp:docPr id="14" name="图片 14" descr="说明: http://zzjjmy.com/ueditor/php/upload/image/20210223/16140700413849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说明: http://zzjjmy.com/ueditor/php/upload/image/20210223/161407004138496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703195" cy="1804670"/>
                    </a:xfrm>
                    <a:prstGeom prst="rect">
                      <a:avLst/>
                    </a:prstGeom>
                    <a:noFill/>
                    <a:ln>
                      <a:noFill/>
                    </a:ln>
                  </pic:spPr>
                </pic:pic>
              </a:graphicData>
            </a:graphic>
          </wp:inline>
        </w:drawing>
      </w:r>
      <w:r>
        <w:rPr>
          <w:rFonts w:ascii="微软雅黑" w:hAnsi="微软雅黑" w:eastAsia="微软雅黑"/>
          <w:color w:val="333333"/>
          <w:sz w:val="21"/>
          <w:szCs w:val="21"/>
        </w:rPr>
        <w:drawing>
          <wp:inline distT="0" distB="0" distL="0" distR="0">
            <wp:extent cx="2639060" cy="1804670"/>
            <wp:effectExtent l="0" t="0" r="8890" b="5080"/>
            <wp:docPr id="12" name="图片 12" descr="说明: http://www.zzjjmy.com/ueditor/php/upload/image/20210223/1614070041118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说明: http://www.zzjjmy.com/ueditor/php/upload/image/20210223/161407004111855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639695" cy="1804973"/>
                    </a:xfrm>
                    <a:prstGeom prst="rect">
                      <a:avLst/>
                    </a:prstGeom>
                    <a:noFill/>
                    <a:ln>
                      <a:noFill/>
                    </a:ln>
                  </pic:spPr>
                </pic:pic>
              </a:graphicData>
            </a:graphic>
          </wp:inline>
        </w:drawing>
      </w:r>
    </w:p>
    <w:p>
      <w:pPr>
        <w:pStyle w:val="12"/>
        <w:shd w:val="clear" w:color="auto" w:fill="FFFFFF"/>
        <w:spacing w:before="0" w:beforeAutospacing="0" w:after="0" w:afterAutospacing="0" w:line="315" w:lineRule="atLeast"/>
        <w:ind w:firstLine="640" w:firstLineChars="200"/>
        <w:rPr>
          <w:rFonts w:ascii="黑体" w:hAnsi="黑体" w:eastAsia="黑体"/>
          <w:color w:val="333333"/>
          <w:sz w:val="32"/>
          <w:szCs w:val="32"/>
        </w:rPr>
      </w:pPr>
      <w:r>
        <w:rPr>
          <w:rFonts w:hint="eastAsia" w:ascii="黑体" w:hAnsi="黑体" w:eastAsia="黑体"/>
          <w:color w:val="333333"/>
          <w:sz w:val="32"/>
          <w:szCs w:val="32"/>
        </w:rPr>
        <w:t>二、“圆融中心”带领实训升级</w:t>
      </w:r>
    </w:p>
    <w:p>
      <w:pPr>
        <w:pStyle w:val="12"/>
        <w:shd w:val="clear" w:color="auto" w:fill="FFFFFF"/>
        <w:spacing w:before="0" w:beforeAutospacing="0" w:after="0" w:afterAutospacing="0" w:line="315" w:lineRule="atLeas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1．整体理念和运营体系。学校实行融合实训理念，以新媒体、O2O营销为突破口，用年轻人最感兴趣的内容和形式提供实训；物流和社会对接把货物商业物流引入学校；营销建设线上线下结合的销售中心；会计适当引入代理记账业务；电商、营销、物流、会计四个专业学生分工参与项目实训。提供专业群融合实训，融合教学，把专业群做出特色，做大做强。以内容型电子商务模式贯穿电子商务专业群教学过程，以O2O（线上线下结合）校园运营为基础平台，强化核心岗位技能，掌握核心知识。通过校园内的工学交替，实现</w:t>
      </w:r>
      <w:r>
        <w:rPr>
          <w:rFonts w:hint="eastAsia"/>
          <w:kern w:val="2"/>
          <w:sz w:val="32"/>
          <w:szCs w:val="32"/>
        </w:rPr>
        <w:t> </w:t>
      </w:r>
      <w:r>
        <w:rPr>
          <w:rFonts w:hint="eastAsia" w:ascii="仿宋_GB2312" w:hAnsi="仿宋_GB2312" w:eastAsia="仿宋_GB2312" w:cs="仿宋_GB2312"/>
          <w:kern w:val="2"/>
          <w:sz w:val="32"/>
          <w:szCs w:val="32"/>
        </w:rPr>
        <w:t>“零适应期”的教学理念。具体来说，一年级学生进行校内实训，二年级引入商业项目运营人员跟进项目实训。每月从电子商务专业、市场营销专业、会计电算化专业、物流服务与管理专业这4个专业中选若干个班级，根据学生意愿和教学安排，组合成小组参与多个项目商业经营和实训。</w:t>
      </w:r>
    </w:p>
    <w:p>
      <w:pPr>
        <w:pStyle w:val="12"/>
        <w:shd w:val="clear" w:color="auto" w:fill="FFFFFF"/>
        <w:spacing w:before="0" w:beforeAutospacing="0" w:after="0" w:afterAutospacing="0" w:line="315" w:lineRule="atLeast"/>
        <w:ind w:firstLine="480" w:firstLineChars="200"/>
        <w:jc w:val="center"/>
        <w:rPr>
          <w:rFonts w:ascii="微软雅黑" w:hAnsi="微软雅黑" w:eastAsia="微软雅黑"/>
          <w:color w:val="333333"/>
          <w:sz w:val="21"/>
          <w:szCs w:val="21"/>
        </w:rPr>
      </w:pPr>
      <w:r>
        <w:rPr>
          <w:rFonts w:hint="eastAsia"/>
          <w:color w:val="333333"/>
        </w:rPr>
        <w:t>圆融中心及内容型电子商务群实训改革项目运营体系</w:t>
      </w:r>
    </w:p>
    <w:p>
      <w:pPr>
        <w:pStyle w:val="12"/>
        <w:shd w:val="clear" w:color="auto" w:fill="FFFFFF"/>
        <w:spacing w:before="0" w:beforeAutospacing="0" w:after="0" w:afterAutospacing="0" w:line="315" w:lineRule="atLeast"/>
        <w:ind w:firstLine="420" w:firstLineChars="200"/>
        <w:rPr>
          <w:rFonts w:ascii="微软雅黑" w:hAnsi="微软雅黑" w:eastAsia="微软雅黑"/>
          <w:color w:val="333333"/>
          <w:sz w:val="21"/>
          <w:szCs w:val="21"/>
        </w:rPr>
      </w:pPr>
      <w:r>
        <w:rPr>
          <w:rFonts w:ascii="微软雅黑" w:hAnsi="微软雅黑" w:eastAsia="微软雅黑"/>
          <w:color w:val="333333"/>
          <w:sz w:val="21"/>
          <w:szCs w:val="21"/>
        </w:rPr>
        <w:drawing>
          <wp:inline distT="0" distB="0" distL="0" distR="0">
            <wp:extent cx="4993640" cy="3140710"/>
            <wp:effectExtent l="0" t="0" r="0" b="2540"/>
            <wp:docPr id="10" name="图片 10" descr="说明: 郑州市经济贸易学校2020年度质量报告最后交稿327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说明: 郑州市经济贸易学校2020年度质量报告最后交稿3278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993640" cy="3140710"/>
                    </a:xfrm>
                    <a:prstGeom prst="rect">
                      <a:avLst/>
                    </a:prstGeom>
                    <a:noFill/>
                    <a:ln>
                      <a:noFill/>
                    </a:ln>
                  </pic:spPr>
                </pic:pic>
              </a:graphicData>
            </a:graphic>
          </wp:inline>
        </w:drawing>
      </w:r>
    </w:p>
    <w:p>
      <w:pPr>
        <w:pStyle w:val="12"/>
        <w:shd w:val="clear" w:color="auto" w:fill="FFFFFF"/>
        <w:spacing w:before="0" w:beforeAutospacing="0" w:after="0" w:afterAutospacing="0" w:line="315" w:lineRule="atLeas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2．电子商务领跑底气足，“融合”助力学生更出彩。该校电子商务专业自2007年成立以来，发展迅速，2019年获批网店运营1+X证书试点单位。学校不仅是河南省电子商务专业协会成员之一，还拥有郑州市职业教育电子商务专业技能工作室。该专业不仅拥有一支能硬仗、业务精湛的师资队伍，更培养出一大批优秀技能选手，多次在省、市级电商专业技能竞赛中获得一、二等奖的好成绩；一大批优秀毕业生升入大学本科和大专，或进入京东、天猫、苏宁易购等公司就业。圆融中心成立后，电子商务的优质资源将惠及更多学生，实力也将更上层楼。</w:t>
      </w:r>
    </w:p>
    <w:p>
      <w:pPr>
        <w:pStyle w:val="12"/>
        <w:shd w:val="clear" w:color="auto" w:fill="FFFFFF"/>
        <w:spacing w:before="0" w:beforeAutospacing="0" w:after="0" w:afterAutospacing="0" w:line="315" w:lineRule="atLeast"/>
        <w:jc w:val="center"/>
        <w:rPr>
          <w:rFonts w:ascii="楷体" w:hAnsi="楷体" w:eastAsia="楷体" w:cs="仿宋_GB2312"/>
          <w:kern w:val="2"/>
          <w:sz w:val="28"/>
          <w:szCs w:val="28"/>
        </w:rPr>
      </w:pPr>
    </w:p>
    <w:p>
      <w:pPr>
        <w:pStyle w:val="12"/>
        <w:shd w:val="clear" w:color="auto" w:fill="FFFFFF"/>
        <w:spacing w:before="0" w:beforeAutospacing="0" w:after="0" w:afterAutospacing="0" w:line="315" w:lineRule="atLeast"/>
        <w:jc w:val="center"/>
        <w:rPr>
          <w:rFonts w:ascii="楷体" w:hAnsi="楷体" w:eastAsia="楷体" w:cs="仿宋_GB2312"/>
          <w:kern w:val="2"/>
          <w:sz w:val="28"/>
          <w:szCs w:val="28"/>
        </w:rPr>
      </w:pPr>
      <w:r>
        <w:rPr>
          <w:rFonts w:hint="eastAsia" w:ascii="楷体" w:hAnsi="楷体" w:eastAsia="楷体" w:cs="仿宋_GB2312"/>
          <w:kern w:val="2"/>
          <w:sz w:val="28"/>
          <w:szCs w:val="28"/>
        </w:rPr>
        <w:t>项目运营中心</w:t>
      </w:r>
    </w:p>
    <w:p>
      <w:pPr>
        <w:pStyle w:val="12"/>
        <w:shd w:val="clear" w:color="auto" w:fill="FFFFFF"/>
        <w:spacing w:before="0" w:beforeAutospacing="0" w:after="0" w:afterAutospacing="0" w:line="315" w:lineRule="atLeast"/>
        <w:rPr>
          <w:rFonts w:ascii="微软雅黑" w:hAnsi="微软雅黑" w:eastAsia="微软雅黑"/>
          <w:color w:val="333333"/>
          <w:sz w:val="21"/>
          <w:szCs w:val="21"/>
        </w:rPr>
      </w:pPr>
      <w:r>
        <w:rPr>
          <w:rFonts w:ascii="微软雅黑" w:hAnsi="微软雅黑" w:eastAsia="微软雅黑"/>
          <w:color w:val="333333"/>
          <w:sz w:val="21"/>
          <w:szCs w:val="21"/>
        </w:rPr>
        <w:drawing>
          <wp:inline distT="0" distB="0" distL="0" distR="0">
            <wp:extent cx="2703195" cy="2385060"/>
            <wp:effectExtent l="0" t="0" r="1905" b="0"/>
            <wp:docPr id="8" name="图片 8" descr="说明: 郑州市经济贸易学校2020年度质量报告最后交稿330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说明: 郑州市经济贸易学校2020年度质量报告最后交稿3308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703195" cy="2385207"/>
                    </a:xfrm>
                    <a:prstGeom prst="rect">
                      <a:avLst/>
                    </a:prstGeom>
                    <a:noFill/>
                    <a:ln>
                      <a:noFill/>
                    </a:ln>
                  </pic:spPr>
                </pic:pic>
              </a:graphicData>
            </a:graphic>
          </wp:inline>
        </w:drawing>
      </w:r>
      <w:r>
        <w:rPr>
          <w:rFonts w:ascii="微软雅黑" w:hAnsi="微软雅黑" w:eastAsia="微软雅黑"/>
          <w:color w:val="333333"/>
          <w:sz w:val="21"/>
          <w:szCs w:val="21"/>
        </w:rPr>
        <w:drawing>
          <wp:inline distT="0" distB="0" distL="0" distR="0">
            <wp:extent cx="2703195" cy="2389505"/>
            <wp:effectExtent l="0" t="0" r="1905" b="0"/>
            <wp:docPr id="7" name="图片 7" descr="说明: 郑州市经济贸易学校2020年度质量报告最后交稿33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说明: 郑州市经济贸易学校2020年度质量报告最后交稿3308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703628" cy="2390146"/>
                    </a:xfrm>
                    <a:prstGeom prst="rect">
                      <a:avLst/>
                    </a:prstGeom>
                    <a:noFill/>
                    <a:ln>
                      <a:noFill/>
                    </a:ln>
                  </pic:spPr>
                </pic:pic>
              </a:graphicData>
            </a:graphic>
          </wp:inline>
        </w:drawing>
      </w:r>
      <w:r>
        <w:rPr>
          <w:rFonts w:ascii="微软雅黑" w:hAnsi="微软雅黑" w:eastAsia="微软雅黑"/>
          <w:color w:val="333333"/>
          <w:sz w:val="21"/>
          <w:szCs w:val="21"/>
        </w:rPr>
        <w:drawing>
          <wp:inline distT="0" distB="0" distL="0" distR="0">
            <wp:extent cx="5454015" cy="2719070"/>
            <wp:effectExtent l="0" t="0" r="0" b="5080"/>
            <wp:docPr id="5" name="图片 5" descr="说明: 郑州市经济贸易学校2020年度质量报告最后交稿330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说明: 郑州市经济贸易学校2020年度质量报告最后交稿33089.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454139" cy="2719291"/>
                    </a:xfrm>
                    <a:prstGeom prst="rect">
                      <a:avLst/>
                    </a:prstGeom>
                    <a:noFill/>
                    <a:ln>
                      <a:noFill/>
                    </a:ln>
                  </pic:spPr>
                </pic:pic>
              </a:graphicData>
            </a:graphic>
          </wp:inline>
        </w:drawing>
      </w:r>
    </w:p>
    <w:p>
      <w:pPr>
        <w:pStyle w:val="12"/>
        <w:shd w:val="clear" w:color="auto" w:fill="FFFFFF"/>
        <w:spacing w:before="0" w:beforeAutospacing="0" w:after="0" w:afterAutospacing="0" w:line="315" w:lineRule="atLeas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3．融合实训人才培养方向的调整。通过020线上、线下和内容工厂的项目融合，将以往以网络技术、应用软件的使用和开发，网络管理与维护为核心的人才培养方向，调整为以适应电子商务专业群发展，以电子商务专业群行业应用、店铺运营、网络营销为核心的人才培养目标。其中电子商务专业核心课程从以往的核心课程设置主要为：电子商务概论、电子商务技术基础、电子商务法、网络营销、电子商务安全与风险管理、网上支付与电子银行、电子商务物流管理、电子商务系统建设与管理等。现在调整和增加部分专业核心课和专业方向课程：增加短视频制作、美工与视觉设计、店铺运营、社会化媒体运营、客户消费心理学、O2O实训。</w:t>
      </w:r>
    </w:p>
    <w:p>
      <w:pPr>
        <w:pStyle w:val="12"/>
        <w:shd w:val="clear" w:color="auto" w:fill="FFFFFF"/>
        <w:spacing w:before="0" w:beforeAutospacing="0" w:after="0" w:afterAutospacing="0" w:line="315" w:lineRule="atLeas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4．融合实训电子商务专业群教学方法的调整。学校重新定位电子商务专业群的实训范围，将线上与线下、商城与O2O商城相结合、营销策划与线下推广相配合、人员服务与人工智能结合。所有的岗位都服务于真实的O2O项目和内容工厂项目，所有人的任务最终都是要体现在业绩的改变，让学生能够通过自身的努力直接影响店铺业绩，极大的提升学生学习的积极性和参与感。同时通过多岗位的轮岗实践，让学生在实际的岗位中获得技能的训练和提升。通过任务推动学生进行学习，在岗位中学会思考，在动手中得以锻炼，改善了以往老师强制要求，学生内心抵触的教学矛盾。学生自助学习，老师加以辅导，配以小组讨论、快速实现知识和技能的转化，真正实现了学中做，做中学的专业教育典范。</w:t>
      </w:r>
    </w:p>
    <w:p>
      <w:pPr>
        <w:pStyle w:val="12"/>
        <w:shd w:val="clear" w:color="auto" w:fill="FFFFFF"/>
        <w:spacing w:before="0" w:beforeAutospacing="0" w:after="0" w:afterAutospacing="0" w:line="315" w:lineRule="atLeas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郑州市经济贸易学校借助电子商务专业群建设的契机，将改革进行到底，让职业教育香起来、亮起来、强起来、忙起来、活起来、特起来。学校探索发展现代职业教育的新路子，让学校像企业、教室像车间、课堂像工段、教师像师傅、学生像学徒、教案像图纸、作业像产品。</w:t>
      </w:r>
      <w:bookmarkEnd w:id="94"/>
      <w:bookmarkEnd w:id="95"/>
      <w:bookmarkEnd w:id="96"/>
    </w:p>
    <w:p>
      <w:pPr>
        <w:widowControl w:val="0"/>
        <w:jc w:val="center"/>
        <w:rPr>
          <w:rFonts w:ascii="黑体" w:hAnsi="黑体" w:eastAsia="黑体" w:cs="黑体"/>
          <w:sz w:val="36"/>
          <w:szCs w:val="36"/>
        </w:rPr>
      </w:pPr>
    </w:p>
    <w:p>
      <w:pPr>
        <w:widowControl w:val="0"/>
        <w:jc w:val="center"/>
        <w:rPr>
          <w:rFonts w:ascii="黑体" w:hAnsi="黑体" w:eastAsia="黑体" w:cs="黑体"/>
          <w:sz w:val="36"/>
          <w:szCs w:val="36"/>
        </w:rPr>
      </w:pPr>
      <w:bookmarkStart w:id="97" w:name="_Toc22471"/>
      <w:bookmarkStart w:id="98" w:name="_Toc10333_WPSOffice_Level1"/>
      <w:bookmarkStart w:id="99" w:name="_Toc25413_WPSOffice_Level1"/>
      <w:r>
        <w:rPr>
          <w:rFonts w:hint="eastAsia" w:ascii="黑体" w:hAnsi="黑体" w:eastAsia="黑体" w:cs="黑体"/>
          <w:sz w:val="36"/>
          <w:szCs w:val="36"/>
        </w:rPr>
        <w:t>第八部分  学校党建工作</w:t>
      </w:r>
      <w:bookmarkEnd w:id="97"/>
      <w:bookmarkEnd w:id="98"/>
      <w:bookmarkEnd w:id="99"/>
    </w:p>
    <w:p>
      <w:pPr>
        <w:shd w:val="clear" w:color="auto" w:fill="FFFFFF"/>
        <w:ind w:firstLine="640" w:firstLineChars="200"/>
        <w:jc w:val="left"/>
        <w:rPr>
          <w:rFonts w:ascii="仿宋" w:hAnsi="仿宋" w:eastAsia="仿宋" w:cs="仿宋"/>
          <w:sz w:val="32"/>
          <w:szCs w:val="32"/>
        </w:rPr>
      </w:pPr>
      <w:r>
        <w:rPr>
          <w:rFonts w:hint="eastAsia" w:ascii="仿宋" w:hAnsi="仿宋" w:eastAsia="仿宋" w:cs="仿宋"/>
          <w:sz w:val="32"/>
          <w:szCs w:val="32"/>
        </w:rPr>
        <w:t>郑州市中等职业教育以习近平新时代中国特色社会主义思想为指导，深入贯彻落实党的十九大和二中、三中、四中、五中全会精神，按照“五位一体”总体布局和“四个全面”战略布局，全面贯彻党的教育方针。坚持从严治党，切实加强党的建设，确保职业学校党建工作</w:t>
      </w:r>
      <w:r>
        <w:rPr>
          <w:rFonts w:hint="eastAsia" w:ascii="仿宋_GB2312" w:eastAsia="仿宋_GB2312"/>
          <w:sz w:val="32"/>
          <w:szCs w:val="32"/>
        </w:rPr>
        <w:t>有力、有序、有效开展。</w:t>
      </w:r>
    </w:p>
    <w:p>
      <w:pPr>
        <w:widowControl w:val="0"/>
        <w:ind w:firstLine="643" w:firstLineChars="200"/>
        <w:rPr>
          <w:rFonts w:ascii="仿宋_GB2312" w:eastAsia="仿宋_GB2312"/>
          <w:sz w:val="32"/>
          <w:szCs w:val="32"/>
        </w:rPr>
      </w:pPr>
      <w:r>
        <w:rPr>
          <w:rFonts w:hint="eastAsia" w:ascii="仿宋_GB2312" w:eastAsia="仿宋_GB2312"/>
          <w:b/>
          <w:sz w:val="32"/>
          <w:szCs w:val="32"/>
        </w:rPr>
        <w:t>加强基层党组织建设。</w:t>
      </w:r>
      <w:r>
        <w:rPr>
          <w:rFonts w:hint="eastAsia" w:ascii="仿宋_GB2312" w:eastAsia="仿宋_GB2312"/>
          <w:sz w:val="32"/>
          <w:szCs w:val="32"/>
        </w:rPr>
        <w:t>中共郑州市教育局党组下发《关于进一步加强中小学党组织建设的通知》，全面加强中小学校基层党组织建设。按照通知要求，郑州市公办学校 “每校必建”，郑州市19所公办中职学校全部按照要求设立党支部，实现了全覆盖。民办中职学校坚持“应建必建”原则，向没有建立党支部的12所民办中职学校派驻党组织负责人、党建指导员，切实加强党对民办学校的领导，充分发挥党组织在职业学校的领导核心和政治核心作用，推进职业学校基层组织全覆盖，为学校健康持续发展提供了坚强的组织保障。</w:t>
      </w:r>
    </w:p>
    <w:p>
      <w:pPr>
        <w:ind w:firstLine="643" w:firstLineChars="200"/>
        <w:rPr>
          <w:rFonts w:ascii="仿宋_GB2312" w:eastAsia="仿宋_GB2312"/>
          <w:sz w:val="32"/>
          <w:szCs w:val="32"/>
        </w:rPr>
      </w:pPr>
      <w:r>
        <w:rPr>
          <w:rFonts w:hint="eastAsia" w:ascii="仿宋_GB2312" w:eastAsia="仿宋_GB2312"/>
          <w:b/>
          <w:sz w:val="32"/>
          <w:szCs w:val="32"/>
        </w:rPr>
        <w:t>落实学校党建主体责任。</w:t>
      </w:r>
      <w:r>
        <w:rPr>
          <w:rFonts w:hint="eastAsia" w:ascii="仿宋_GB2312" w:eastAsia="仿宋_GB2312"/>
          <w:sz w:val="32"/>
          <w:szCs w:val="32"/>
        </w:rPr>
        <w:t>我市各中职学校能够认真落实党风廉政建设主体责任和“一岗双责”制度，坚持把党风廉政建设与学校教育教学各项工作任务同部署、同落实，将党建工作与学校全面发展深度融合。各校党组织能够按照要求，组织广大党员干部教职工认真学习党章党规，扎实开展“两学一做”学习教育，</w:t>
      </w:r>
      <w:r>
        <w:rPr>
          <w:rFonts w:ascii="仿宋_GB2312" w:eastAsia="仿宋_GB2312"/>
          <w:sz w:val="32"/>
          <w:szCs w:val="32"/>
        </w:rPr>
        <w:t xml:space="preserve"> </w:t>
      </w:r>
      <w:r>
        <w:rPr>
          <w:rFonts w:hint="eastAsia" w:ascii="仿宋_GB2312" w:eastAsia="仿宋_GB2312"/>
          <w:sz w:val="32"/>
          <w:szCs w:val="32"/>
        </w:rPr>
        <w:t>深入开展党的群众路线教育实践活动和“</w:t>
      </w:r>
      <w:bookmarkStart w:id="108" w:name="_GoBack"/>
      <w:bookmarkEnd w:id="108"/>
      <w:r>
        <w:rPr>
          <w:rFonts w:hint="eastAsia" w:ascii="仿宋_GB2312" w:eastAsia="仿宋_GB2312"/>
          <w:sz w:val="32"/>
          <w:szCs w:val="32"/>
        </w:rPr>
        <w:t>三严三实”专题教育。全面抓好制度建设、阵地建设，严格落实“三会一课”、民主评议党员、民主生活会等制度，切实打牢基层党组织建设基础。</w:t>
      </w:r>
    </w:p>
    <w:p/>
    <w:p>
      <w:pPr>
        <w:widowControl w:val="0"/>
        <w:jc w:val="center"/>
        <w:rPr>
          <w:rFonts w:ascii="黑体" w:hAnsi="黑体" w:eastAsia="黑体" w:cs="黑体"/>
          <w:sz w:val="36"/>
          <w:szCs w:val="36"/>
        </w:rPr>
      </w:pPr>
      <w:bookmarkStart w:id="100" w:name="_Toc31751_WPSOffice_Level1"/>
      <w:bookmarkStart w:id="101" w:name="_Toc23079_WPSOffice_Level1"/>
      <w:bookmarkStart w:id="102" w:name="_Toc19909"/>
      <w:r>
        <w:rPr>
          <w:rFonts w:hint="eastAsia" w:ascii="黑体" w:hAnsi="黑体" w:eastAsia="黑体" w:cs="黑体"/>
          <w:sz w:val="36"/>
          <w:szCs w:val="36"/>
        </w:rPr>
        <w:t>第九部分 主要问题和改进措施</w:t>
      </w:r>
      <w:bookmarkEnd w:id="100"/>
      <w:bookmarkEnd w:id="101"/>
      <w:bookmarkEnd w:id="102"/>
      <w:bookmarkStart w:id="103" w:name="_Toc11019"/>
    </w:p>
    <w:p>
      <w:pPr>
        <w:ind w:firstLine="643" w:firstLineChars="200"/>
        <w:rPr>
          <w:rFonts w:ascii="楷体" w:hAnsi="楷体" w:eastAsia="楷体" w:cs="楷体"/>
          <w:b/>
          <w:bCs/>
          <w:sz w:val="32"/>
          <w:szCs w:val="32"/>
        </w:rPr>
      </w:pPr>
      <w:bookmarkStart w:id="104" w:name="_Toc2707_WPSOffice_Level2"/>
      <w:bookmarkStart w:id="105" w:name="_Toc18956_WPSOffice_Level2"/>
    </w:p>
    <w:p>
      <w:pPr>
        <w:ind w:firstLine="643" w:firstLineChars="200"/>
        <w:rPr>
          <w:rFonts w:ascii="黑体" w:hAnsi="黑体" w:eastAsia="黑体"/>
          <w:sz w:val="24"/>
        </w:rPr>
      </w:pPr>
      <w:r>
        <w:rPr>
          <w:rFonts w:hint="eastAsia" w:ascii="楷体" w:hAnsi="楷体" w:eastAsia="楷体" w:cs="楷体"/>
          <w:b/>
          <w:bCs/>
          <w:sz w:val="32"/>
          <w:szCs w:val="32"/>
        </w:rPr>
        <w:t>9.1存在问题</w:t>
      </w:r>
      <w:bookmarkEnd w:id="103"/>
      <w:bookmarkEnd w:id="104"/>
      <w:bookmarkEnd w:id="105"/>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2020年郑州市中等职业教育发展情况总体良好，在规模、质量、效益等方面取得了较为显著的成绩。但同时受一些客观因素的影响与制约，我市中等职业教育与郑州国家中心城市建设匹配度，与人民群众对优质职业教育的期待还存在一定差距。</w:t>
      </w:r>
    </w:p>
    <w:p>
      <w:pPr>
        <w:ind w:firstLine="643" w:firstLineChars="200"/>
        <w:rPr>
          <w:rFonts w:ascii="楷体" w:hAnsi="楷体" w:eastAsia="楷体" w:cs="楷体"/>
          <w:sz w:val="32"/>
          <w:szCs w:val="32"/>
        </w:rPr>
      </w:pPr>
      <w:r>
        <w:rPr>
          <w:rFonts w:hint="eastAsia" w:ascii="仿宋_GB2312" w:eastAsia="仿宋_GB2312"/>
          <w:b/>
          <w:sz w:val="32"/>
          <w:szCs w:val="32"/>
        </w:rPr>
        <w:t>基础能力建设有待提高。</w:t>
      </w:r>
      <w:r>
        <w:rPr>
          <w:rFonts w:hint="eastAsia" w:ascii="仿宋_GB2312" w:eastAsia="仿宋_GB2312"/>
          <w:sz w:val="32"/>
          <w:szCs w:val="32"/>
        </w:rPr>
        <w:t>我市中职基础能力仍较为薄弱，</w:t>
      </w:r>
      <w:r>
        <w:rPr>
          <w:rFonts w:hint="eastAsia" w:ascii="仿宋_GB2312" w:hAnsi="仿宋_GB2312" w:eastAsia="仿宋_GB2312" w:cs="仿宋_GB2312"/>
          <w:sz w:val="32"/>
          <w:szCs w:val="32"/>
        </w:rPr>
        <w:t>中职学校办学条件亟待改善，全市窗口学校建设标准不高，</w:t>
      </w:r>
      <w:r>
        <w:rPr>
          <w:rFonts w:hint="eastAsia" w:ascii="仿宋" w:hAnsi="仿宋" w:eastAsia="仿宋" w:cs="仿宋"/>
          <w:sz w:val="32"/>
          <w:szCs w:val="32"/>
        </w:rPr>
        <w:t>相当一部分中职学校</w:t>
      </w:r>
      <w:r>
        <w:rPr>
          <w:rFonts w:hint="eastAsia" w:ascii="仿宋_GB2312" w:hAnsi="仿宋_GB2312" w:eastAsia="仿宋_GB2312" w:cs="仿宋_GB2312"/>
          <w:sz w:val="32"/>
          <w:szCs w:val="32"/>
        </w:rPr>
        <w:t>还存在规模较小、校舍陈旧、实习实训条件落后、双师型教师不足等突出问题，甚至难以保证正常教学工作的高效开展。随着我市职业教育快速发展，办学条件和规模日益成为制约我市中职学校争取省级、国家级重大项目支持的主要瓶颈，严重影响我市职业教育可持续健康发展。</w:t>
      </w:r>
    </w:p>
    <w:p>
      <w:pPr>
        <w:ind w:firstLine="643" w:firstLineChars="200"/>
        <w:rPr>
          <w:rFonts w:eastAsia="黑体"/>
          <w:sz w:val="32"/>
          <w:szCs w:val="32"/>
        </w:rPr>
      </w:pPr>
      <w:r>
        <w:rPr>
          <w:rFonts w:hint="eastAsia" w:ascii="仿宋_GB2312" w:eastAsia="仿宋_GB2312"/>
          <w:b/>
          <w:sz w:val="32"/>
          <w:szCs w:val="32"/>
        </w:rPr>
        <w:t>人才培养模式改革不深。</w:t>
      </w:r>
      <w:r>
        <w:rPr>
          <w:rFonts w:hint="eastAsia" w:eastAsia="仿宋"/>
          <w:sz w:val="32"/>
          <w:szCs w:val="32"/>
        </w:rPr>
        <w:t>当前，郑州正在加快国家中心城市建设步伐，伴随产业转型升级、各类科创企业的不断入驻，对人才的需要，特别是适应性和动手能力好、就业能力强的技术技能人才的需求越来越大。然而，中职学校在人才培养过程中，由于</w:t>
      </w:r>
      <w:r>
        <w:rPr>
          <w:rFonts w:hint="eastAsia" w:ascii="仿宋_GB2312" w:hAnsi="仿宋_GB2312" w:eastAsia="仿宋_GB2312" w:cs="仿宋_GB2312"/>
          <w:sz w:val="32"/>
          <w:szCs w:val="32"/>
        </w:rPr>
        <w:t>产教融合深度不够，教育教学相对传统，人才的培养与企业岗位需求匹配度不高、针对性不强，学校到企业最后一公里没有完全打通。</w:t>
      </w:r>
    </w:p>
    <w:p>
      <w:pPr>
        <w:ind w:firstLine="643" w:firstLineChars="200"/>
        <w:rPr>
          <w:rFonts w:ascii="仿宋_GB2312" w:hAnsi="仿宋_GB2312" w:eastAsia="仿宋_GB2312" w:cs="仿宋_GB2312"/>
          <w:sz w:val="32"/>
          <w:szCs w:val="32"/>
        </w:rPr>
      </w:pPr>
      <w:r>
        <w:rPr>
          <w:rFonts w:hint="eastAsia" w:ascii="仿宋_GB2312" w:eastAsia="仿宋_GB2312"/>
          <w:b/>
          <w:sz w:val="32"/>
          <w:szCs w:val="32"/>
        </w:rPr>
        <w:t>企业育人主体作用不强。</w:t>
      </w:r>
      <w:r>
        <w:rPr>
          <w:rFonts w:ascii="仿宋_GB2312" w:hAnsi="仿宋_GB2312" w:eastAsia="仿宋_GB2312" w:cs="仿宋_GB2312"/>
          <w:sz w:val="32"/>
          <w:szCs w:val="32"/>
        </w:rPr>
        <w:t>企业作为市场经济的主体，</w:t>
      </w:r>
      <w:r>
        <w:rPr>
          <w:rFonts w:hint="eastAsia" w:ascii="仿宋_GB2312" w:hAnsi="仿宋_GB2312" w:eastAsia="仿宋_GB2312" w:cs="仿宋_GB2312"/>
          <w:sz w:val="32"/>
          <w:szCs w:val="32"/>
        </w:rPr>
        <w:t>以追求经济效益最大化为目标。</w:t>
      </w:r>
      <w:r>
        <w:rPr>
          <w:rFonts w:hint="eastAsia" w:eastAsia="仿宋"/>
          <w:sz w:val="32"/>
          <w:szCs w:val="32"/>
        </w:rPr>
        <w:t>校企合作过程中，需要企业投入大量资金，而短时间内无法取得合理的成本补偿收益。因此，企业主动参与校企合作的动力不足，</w:t>
      </w:r>
      <w:r>
        <w:rPr>
          <w:rFonts w:hint="eastAsia" w:ascii="仿宋" w:hAnsi="仿宋" w:eastAsia="仿宋" w:cs="仿宋"/>
          <w:sz w:val="32"/>
          <w:szCs w:val="32"/>
        </w:rPr>
        <w:t>深度融入人才培养全过程的意愿不强，难以形成职业院校人才培养与行业企业人才需求的高度契合。</w:t>
      </w:r>
    </w:p>
    <w:p>
      <w:pPr>
        <w:ind w:firstLine="643" w:firstLineChars="200"/>
        <w:rPr>
          <w:rFonts w:ascii="仿宋_GB2312" w:hAnsi="仿宋_GB2312" w:eastAsia="仿宋_GB2312" w:cs="仿宋_GB2312"/>
          <w:sz w:val="32"/>
          <w:szCs w:val="32"/>
        </w:rPr>
      </w:pPr>
      <w:r>
        <w:rPr>
          <w:rFonts w:hint="eastAsia" w:ascii="仿宋_GB2312" w:eastAsia="仿宋_GB2312"/>
          <w:b/>
          <w:sz w:val="32"/>
          <w:szCs w:val="32"/>
        </w:rPr>
        <w:t>“双师型”教师队伍不足。</w:t>
      </w:r>
      <w:r>
        <w:rPr>
          <w:rFonts w:hint="eastAsia" w:eastAsia="仿宋"/>
          <w:sz w:val="32"/>
          <w:szCs w:val="32"/>
        </w:rPr>
        <w:t>随着职业教育快速发展，办学规模不断增大，我市职业院校教师数量已经不能很好满足教育教学需求。职业教育</w:t>
      </w:r>
      <w:r>
        <w:rPr>
          <w:rFonts w:hint="eastAsia" w:ascii="仿宋_GB2312" w:hAnsi="仿宋_GB2312" w:eastAsia="仿宋_GB2312" w:cs="仿宋_GB2312"/>
          <w:sz w:val="32"/>
          <w:szCs w:val="32"/>
        </w:rPr>
        <w:t>双师型教师比例不高，而技术升级和专业更新对专业课教师的要求更高，这就需要向现有教师队伍不断注入新鲜血液，改变传统的教育教学模式</w:t>
      </w:r>
      <w:r>
        <w:rPr>
          <w:rFonts w:hint="eastAsia" w:eastAsia="仿宋"/>
          <w:sz w:val="32"/>
          <w:szCs w:val="32"/>
        </w:rPr>
        <w:t>。但是，目前外聘兼职教师技能标准高、工资待遇偏低，岗位吸引力不强，难以聘请优秀的企业高技能人才进行教学指导。</w:t>
      </w:r>
    </w:p>
    <w:p>
      <w:pPr>
        <w:ind w:firstLine="643" w:firstLineChars="200"/>
        <w:rPr>
          <w:rFonts w:ascii="仿宋_GB2312" w:hAnsi="微软雅黑" w:eastAsia="仿宋_GB2312" w:cs="仿宋_GB2312"/>
          <w:sz w:val="31"/>
          <w:szCs w:val="31"/>
        </w:rPr>
      </w:pPr>
      <w:bookmarkStart w:id="106" w:name="_Toc6696_WPSOffice_Level2"/>
      <w:bookmarkStart w:id="107" w:name="_Toc2502_WPSOffice_Level2"/>
      <w:r>
        <w:rPr>
          <w:rFonts w:hint="eastAsia" w:ascii="楷体" w:hAnsi="楷体" w:eastAsia="楷体" w:cs="楷体"/>
          <w:b/>
          <w:bCs/>
          <w:sz w:val="32"/>
          <w:szCs w:val="32"/>
        </w:rPr>
        <w:t>9.2 改进措施</w:t>
      </w:r>
      <w:bookmarkEnd w:id="106"/>
      <w:bookmarkEnd w:id="107"/>
    </w:p>
    <w:p>
      <w:pPr>
        <w:shd w:val="solid" w:color="FFFFFF" w:fill="auto"/>
        <w:autoSpaceDN w:val="0"/>
        <w:ind w:firstLine="643" w:firstLineChars="200"/>
        <w:rPr>
          <w:rFonts w:eastAsia="仿宋"/>
          <w:sz w:val="32"/>
          <w:szCs w:val="32"/>
        </w:rPr>
      </w:pPr>
      <w:r>
        <w:rPr>
          <w:rFonts w:hint="eastAsia" w:ascii="仿宋_GB2312" w:eastAsia="仿宋_GB2312"/>
          <w:b/>
          <w:sz w:val="32"/>
          <w:szCs w:val="32"/>
        </w:rPr>
        <w:t>强化政府统筹职业教育发展的力度。</w:t>
      </w:r>
      <w:r>
        <w:rPr>
          <w:rFonts w:hint="eastAsia" w:ascii="仿宋" w:hAnsi="仿宋" w:eastAsia="仿宋" w:cs="仿宋"/>
          <w:sz w:val="32"/>
        </w:rPr>
        <w:t>职业教育与普通教育是两种不同类型教育，具有同等重要地位。要坚持职业教育与经济社会发展同步规划，重视职业教育在教育工作全局和经济发展大局中的重要作用，统筹区域内职业教育和普通教育协调发展。加强政策保障、资源统筹和综合协调，重点规划职业教育发展的政策措施、支持方式和重大项目</w:t>
      </w:r>
      <w:r>
        <w:rPr>
          <w:rFonts w:hint="eastAsia" w:ascii="仿宋_GB2312" w:hAnsi="仿宋_GB2312" w:eastAsia="仿宋_GB2312" w:cs="仿宋_GB2312"/>
          <w:sz w:val="32"/>
          <w:szCs w:val="32"/>
        </w:rPr>
        <w:t>。</w:t>
      </w:r>
      <w:r>
        <w:rPr>
          <w:rFonts w:hint="eastAsia" w:ascii="仿宋_GB2312" w:eastAsia="仿宋_GB2312"/>
          <w:bCs/>
          <w:sz w:val="32"/>
          <w:szCs w:val="32"/>
        </w:rPr>
        <w:t>加快构建现代职教体系，</w:t>
      </w:r>
      <w:r>
        <w:rPr>
          <w:rFonts w:hint="eastAsia" w:ascii="仿宋" w:hAnsi="仿宋" w:eastAsia="仿宋" w:cs="仿宋"/>
          <w:sz w:val="32"/>
          <w:szCs w:val="32"/>
        </w:rPr>
        <w:t>建立起从中职到高职、到应用本科、到专业硕士、博士纵向贯通的人才培养通道，牢固确立职业教育在社会人才培养体系中的重要地位。</w:t>
      </w:r>
    </w:p>
    <w:p>
      <w:pPr>
        <w:ind w:firstLine="643" w:firstLineChars="200"/>
        <w:rPr>
          <w:rFonts w:ascii="楷体" w:hAnsi="楷体" w:eastAsia="楷体" w:cs="楷体"/>
          <w:bCs/>
          <w:sz w:val="32"/>
          <w:szCs w:val="32"/>
        </w:rPr>
      </w:pPr>
      <w:r>
        <w:rPr>
          <w:rFonts w:hint="eastAsia" w:ascii="仿宋_GB2312" w:eastAsia="仿宋_GB2312"/>
          <w:b/>
          <w:sz w:val="32"/>
          <w:szCs w:val="32"/>
        </w:rPr>
        <w:t>坚持职业教育与区域布局协调发展。</w:t>
      </w:r>
      <w:r>
        <w:rPr>
          <w:rFonts w:hint="eastAsia" w:ascii="仿宋" w:hAnsi="仿宋" w:eastAsia="仿宋" w:cs="仿宋"/>
          <w:sz w:val="32"/>
        </w:rPr>
        <w:t>围绕国家重大发展战略和郑州市产业集群，优化职业教育布局，推动职业教育校区与产业集聚区紧密对接，建设一批高水平职业学校。</w:t>
      </w:r>
      <w:r>
        <w:rPr>
          <w:rFonts w:hint="eastAsia" w:ascii="仿宋_GB2312" w:hAnsi="仿宋_GB2312" w:eastAsia="仿宋_GB2312" w:cs="仿宋_GB2312"/>
          <w:sz w:val="32"/>
          <w:szCs w:val="32"/>
        </w:rPr>
        <w:t>建立稳定增长的职业教育经费投入机制，增加财政投入，强化职业教育发展保障。</w:t>
      </w:r>
      <w:r>
        <w:rPr>
          <w:rFonts w:hint="eastAsia" w:ascii="仿宋" w:hAnsi="仿宋" w:eastAsia="仿宋" w:cs="仿宋"/>
          <w:sz w:val="32"/>
        </w:rPr>
        <w:t>加</w:t>
      </w:r>
      <w:r>
        <w:rPr>
          <w:rFonts w:hint="eastAsia" w:ascii="仿宋_GB2312" w:eastAsia="仿宋_GB2312"/>
          <w:sz w:val="32"/>
          <w:szCs w:val="32"/>
        </w:rPr>
        <w:t>强中职学校标准化建设，</w:t>
      </w:r>
      <w:r>
        <w:rPr>
          <w:rFonts w:hint="eastAsia" w:ascii="仿宋_GB2312" w:hAnsi="仿宋_GB2312" w:eastAsia="仿宋_GB2312" w:cs="仿宋_GB2312"/>
          <w:sz w:val="32"/>
          <w:szCs w:val="32"/>
        </w:rPr>
        <w:t>通过布局调整、职教园区建设、地方高校外迁、中职学校新建及改扩建等方式，不断加快职业院校扩容升级，改善办学条件，增强办学实力，打造全市窗口职业院校。</w:t>
      </w:r>
    </w:p>
    <w:p>
      <w:pPr>
        <w:ind w:firstLine="643" w:firstLineChars="200"/>
        <w:rPr>
          <w:rFonts w:eastAsia="仿宋"/>
          <w:bCs/>
          <w:sz w:val="32"/>
          <w:szCs w:val="32"/>
        </w:rPr>
      </w:pPr>
      <w:r>
        <w:rPr>
          <w:rFonts w:hint="eastAsia" w:ascii="仿宋_GB2312" w:eastAsia="仿宋_GB2312"/>
          <w:b/>
          <w:sz w:val="32"/>
          <w:szCs w:val="32"/>
        </w:rPr>
        <w:t>完善产教融合、校企合作激励政策。</w:t>
      </w:r>
      <w:r>
        <w:rPr>
          <w:rFonts w:hint="eastAsia" w:ascii="仿宋_GB2312" w:hAnsi="仿宋_GB2312" w:eastAsia="仿宋_GB2312" w:cs="仿宋_GB2312"/>
          <w:sz w:val="32"/>
          <w:szCs w:val="32"/>
        </w:rPr>
        <w:t>积极推进产教融合试点城市建设，建立市级统筹推进的产教融合工作机制，以区域板块、产业集群、职教园区为单元，供需两侧双向发力，形成产教融合新格局。利用政策资源、产业导向，优化招商引资环境，建立产教融合、校企合作财政支持激励机制，设立产教融合校企合作专项资金。</w:t>
      </w:r>
      <w:r>
        <w:rPr>
          <w:rFonts w:hint="eastAsia" w:ascii="仿宋" w:hAnsi="仿宋" w:eastAsia="仿宋" w:cs="仿宋"/>
          <w:sz w:val="32"/>
          <w:szCs w:val="32"/>
        </w:rPr>
        <w:t>制定税收优惠、购买服务等激励政策，</w:t>
      </w:r>
      <w:r>
        <w:rPr>
          <w:rFonts w:hint="eastAsia" w:ascii="仿宋_GB2312" w:hAnsi="仿宋_GB2312" w:eastAsia="仿宋_GB2312" w:cs="仿宋_GB2312"/>
          <w:sz w:val="32"/>
          <w:szCs w:val="32"/>
        </w:rPr>
        <w:t>对职业教育产教融合、校企合作成效显著的项目给予支持，对类似企业的培训系统植入职业院校给与资金支持。</w:t>
      </w:r>
      <w:r>
        <w:rPr>
          <w:rFonts w:hint="eastAsia" w:eastAsia="仿宋"/>
          <w:bCs/>
          <w:sz w:val="32"/>
          <w:szCs w:val="32"/>
        </w:rPr>
        <w:t>允许学校从校企合作中获得智力、专利、教育、劳务等报酬，具体分配方案由学校自行制定。</w:t>
      </w:r>
    </w:p>
    <w:p>
      <w:pPr>
        <w:ind w:firstLine="643" w:firstLineChars="200"/>
        <w:rPr>
          <w:rFonts w:ascii="楷体" w:hAnsi="楷体" w:eastAsia="楷体" w:cs="楷体"/>
          <w:sz w:val="32"/>
          <w:szCs w:val="32"/>
        </w:rPr>
      </w:pPr>
      <w:r>
        <w:rPr>
          <w:rFonts w:hint="eastAsia" w:ascii="仿宋_GB2312" w:eastAsia="仿宋_GB2312"/>
          <w:b/>
          <w:sz w:val="32"/>
          <w:szCs w:val="32"/>
        </w:rPr>
        <w:t>进一步强化企业的育人主体作用。</w:t>
      </w:r>
      <w:r>
        <w:rPr>
          <w:rFonts w:hint="eastAsia" w:ascii="仿宋_GB2312" w:hAnsi="仿宋_GB2312" w:eastAsia="仿宋_GB2312" w:cs="仿宋_GB2312"/>
          <w:sz w:val="32"/>
          <w:szCs w:val="32"/>
          <w:shd w:val="clear" w:color="auto" w:fill="FFFFFF"/>
        </w:rPr>
        <w:t>坚持育人为本、产业为要，坚持产教融合、创新发展，建设一批职业院校、政府及行业企业等多主体共建共管共享的现代产业学院，聚焦创新人才培养模式、提升专业建设质量、开发校企合作课程、打造实习实训基地等目标任务，培养大量产业需要的高素质应用型、复合型、创新型人才。激发企业参与校企合作、协同育人的积极性，认定一批产教融合型企业，对其给予“金融+财政+土地+信用”的组合式激励，并按规定落实相关税收政策。</w:t>
      </w:r>
      <w:r>
        <w:rPr>
          <w:rFonts w:hint="eastAsia" w:ascii="楷体" w:hAnsi="楷体" w:eastAsia="楷体" w:cs="楷体"/>
          <w:color w:val="000000"/>
          <w:sz w:val="32"/>
          <w:szCs w:val="32"/>
        </w:rPr>
        <w:t xml:space="preserve"> </w:t>
      </w:r>
    </w:p>
    <w:p>
      <w:pPr>
        <w:ind w:firstLine="643" w:firstLineChars="200"/>
        <w:rPr>
          <w:rFonts w:ascii="仿宋_GB2312" w:hAnsi="仿宋_GB2312" w:eastAsia="仿宋_GB2312" w:cs="仿宋_GB2312"/>
          <w:sz w:val="32"/>
          <w:szCs w:val="32"/>
        </w:rPr>
      </w:pPr>
      <w:r>
        <w:rPr>
          <w:rFonts w:hint="eastAsia" w:ascii="仿宋_GB2312" w:eastAsia="仿宋_GB2312"/>
          <w:b/>
          <w:sz w:val="32"/>
          <w:szCs w:val="32"/>
        </w:rPr>
        <w:t>建立高水平职业教育教师队伍。</w:t>
      </w:r>
      <w:r>
        <w:rPr>
          <w:rFonts w:hint="eastAsia" w:ascii="仿宋_GB2312" w:hAnsi="仿宋_GB2312" w:eastAsia="仿宋_GB2312" w:cs="仿宋_GB2312"/>
          <w:sz w:val="32"/>
          <w:szCs w:val="32"/>
        </w:rPr>
        <w:t>建立职业学校自主聘任专业课兼职教师的办法，加大学校聘任教师的自主权，推动企业工程技术人员、高技能人才和职业学校教师双向流动，将企业对技术技能人才的需求及时传导到学校教育教学中。完善企业经营管理和技术人员与学校领导、骨干教师相互兼职兼薪制度，提高特聘兼职专业教师津贴水平</w:t>
      </w:r>
      <w:r>
        <w:rPr>
          <w:rFonts w:hint="eastAsia" w:eastAsia="仿宋"/>
          <w:sz w:val="32"/>
          <w:szCs w:val="32"/>
        </w:rPr>
        <w:t>。加强职业教育国际交流与合作，引进优质职业教育资源，定期选派职业学校骨干教师和教学管理人员等赴国外研修访学，提高教师教育教学和管理水平。</w:t>
      </w:r>
    </w:p>
    <w:p>
      <w:pPr>
        <w:ind w:firstLine="643" w:firstLineChars="200"/>
        <w:rPr>
          <w:rFonts w:ascii="楷体" w:hAnsi="楷体" w:eastAsia="楷体" w:cs="楷体"/>
          <w:sz w:val="32"/>
          <w:szCs w:val="32"/>
        </w:rPr>
      </w:pPr>
      <w:r>
        <w:rPr>
          <w:rFonts w:hint="eastAsia" w:ascii="仿宋_GB2312" w:eastAsia="仿宋_GB2312"/>
          <w:b/>
          <w:sz w:val="32"/>
          <w:szCs w:val="32"/>
        </w:rPr>
        <w:t>深化职业教育人才培养模式改革。</w:t>
      </w:r>
      <w:r>
        <w:rPr>
          <w:rFonts w:hint="eastAsia" w:ascii="仿宋_GB2312" w:hAnsi="仿宋_GB2312" w:eastAsia="仿宋_GB2312" w:cs="仿宋_GB2312"/>
          <w:sz w:val="32"/>
          <w:szCs w:val="32"/>
        </w:rPr>
        <w:t>紧密围绕产业升级和企业生产需求，加强职业学校专业建设动态调整机制，优化专业布局，</w:t>
      </w:r>
      <w:r>
        <w:rPr>
          <w:rFonts w:hint="eastAsia" w:ascii="仿宋" w:hAnsi="仿宋" w:eastAsia="仿宋"/>
          <w:color w:val="000000"/>
          <w:sz w:val="32"/>
        </w:rPr>
        <w:t>促进职业教育形成优势互补、各具特色的差异化发展格局。不断</w:t>
      </w:r>
      <w:r>
        <w:rPr>
          <w:rFonts w:hint="eastAsia" w:ascii="仿宋_GB2312" w:hAnsi="仿宋_GB2312" w:eastAsia="仿宋_GB2312" w:cs="仿宋_GB2312"/>
          <w:sz w:val="32"/>
          <w:szCs w:val="32"/>
        </w:rPr>
        <w:t>深化</w:t>
      </w:r>
      <w:r>
        <w:rPr>
          <w:rFonts w:hint="eastAsia" w:ascii="仿宋_GB2312" w:hAnsi="仿宋_GB2312" w:eastAsia="仿宋_GB2312" w:cs="仿宋_GB2312"/>
          <w:sz w:val="32"/>
          <w:szCs w:val="32"/>
          <w:shd w:val="clear" w:color="auto" w:fill="FFFFFF"/>
        </w:rPr>
        <w:t>人才培养模式改革，</w:t>
      </w:r>
      <w:r>
        <w:rPr>
          <w:rFonts w:hint="eastAsia" w:ascii="仿宋_GB2312" w:hAnsi="仿宋_GB2312" w:eastAsia="仿宋_GB2312" w:cs="仿宋_GB2312"/>
          <w:sz w:val="32"/>
          <w:szCs w:val="32"/>
        </w:rPr>
        <w:t>加强校企合作、产教融合，推动校企共同研究制定人才培养方案。推进学校与企业、基地与车间、专业与产业、教师与师傅、学生与员工、培养培训与终身教育的有效对接，通过校企专业共建、课程共担、教材共编、师资共用、基地共享、人才共育，实现校企双元育人、一体化培养，打通学校到企业最后一公里，</w:t>
      </w:r>
      <w:r>
        <w:rPr>
          <w:rFonts w:hint="eastAsia" w:ascii="仿宋_GB2312" w:eastAsia="仿宋_GB2312"/>
          <w:sz w:val="32"/>
          <w:szCs w:val="32"/>
        </w:rPr>
        <w:t>为经济社会发展提供更强有力的人才支撑，为建设美好郑州贡献力量。</w:t>
      </w:r>
    </w:p>
    <w:p/>
    <w:sectPr>
      <w:headerReference r:id="rId3" w:type="default"/>
      <w:footerReference r:id="rId4" w:type="default"/>
      <w:pgSz w:w="12240" w:h="15840"/>
      <w:pgMar w:top="1440" w:right="1800" w:bottom="1440" w:left="1800" w:header="720" w:footer="720"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panose1 w:val="020F0302020204030204"/>
    <w:charset w:val="00"/>
    <w:family w:val="roman"/>
    <w:pitch w:val="default"/>
    <w:sig w:usb0="A00002EF" w:usb1="4000207B"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方正小标宋简体">
    <w:altName w:val="方正舒体"/>
    <w:panose1 w:val="03000509000000000000"/>
    <w:charset w:val="86"/>
    <w:family w:val="script"/>
    <w:pitch w:val="default"/>
    <w:sig w:usb0="00000000" w:usb1="00000000" w:usb2="00000010" w:usb3="00000000" w:csb0="00040000" w:csb1="00000000"/>
  </w:font>
  <w:font w:name="方正舒体">
    <w:panose1 w:val="02010601030101010101"/>
    <w:charset w:val="86"/>
    <w:family w:val="auto"/>
    <w:pitch w:val="default"/>
    <w:sig w:usb0="00000003"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rPr>
                            <w:fldChar w:fldCharType="begin"/>
                          </w:r>
                          <w:r>
                            <w:rPr>
                              <w:rFonts w:hint="eastAsia"/>
                            </w:rPr>
                            <w:instrText xml:space="preserve"> PAGE  \* MERGEFORMAT </w:instrText>
                          </w:r>
                          <w:r>
                            <w:rPr>
                              <w:rFonts w:hint="eastAsia"/>
                            </w:rPr>
                            <w:fldChar w:fldCharType="separate"/>
                          </w:r>
                          <w:r>
                            <w:t>- 19 -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pStyle w:val="8"/>
                    </w:pPr>
                    <w:r>
                      <w:rPr>
                        <w:rFonts w:hint="eastAsia"/>
                      </w:rPr>
                      <w:fldChar w:fldCharType="begin"/>
                    </w:r>
                    <w:r>
                      <w:rPr>
                        <w:rFonts w:hint="eastAsia"/>
                      </w:rPr>
                      <w:instrText xml:space="preserve"> PAGE  \* MERGEFORMAT </w:instrText>
                    </w:r>
                    <w:r>
                      <w:rPr>
                        <w:rFonts w:hint="eastAsia"/>
                      </w:rPr>
                      <w:fldChar w:fldCharType="separate"/>
                    </w:r>
                    <w:r>
                      <w:t>- 19 -</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9E34DC9"/>
    <w:multiLevelType w:val="multilevel"/>
    <w:tmpl w:val="19E34DC9"/>
    <w:lvl w:ilvl="0" w:tentative="0">
      <w:start w:val="1"/>
      <w:numFmt w:val="decimal"/>
      <w:lvlText w:val="%1."/>
      <w:lvlJc w:val="left"/>
      <w:pPr>
        <w:tabs>
          <w:tab w:val="left" w:pos="284"/>
        </w:tabs>
        <w:ind w:left="0" w:firstLine="0"/>
      </w:pPr>
      <w:rPr>
        <w:rFonts w:hint="eastAsia"/>
      </w:rPr>
    </w:lvl>
    <w:lvl w:ilvl="1" w:tentative="0">
      <w:start w:val="8"/>
      <w:numFmt w:val="decimal"/>
      <w:pStyle w:val="2"/>
      <w:suff w:val="space"/>
      <w:lvlText w:val="%1.%2."/>
      <w:lvlJc w:val="left"/>
      <w:pPr>
        <w:ind w:left="142" w:firstLine="0"/>
      </w:pPr>
      <w:rPr>
        <w:rFonts w:hint="eastAsia"/>
      </w:rPr>
    </w:lvl>
    <w:lvl w:ilvl="2" w:tentative="0">
      <w:start w:val="1"/>
      <w:numFmt w:val="decimal"/>
      <w:lvlText w:val="%1.%2.%3."/>
      <w:lvlJc w:val="left"/>
      <w:pPr>
        <w:tabs>
          <w:tab w:val="left" w:pos="567"/>
        </w:tabs>
        <w:ind w:left="0" w:firstLine="0"/>
      </w:pPr>
      <w:rPr>
        <w:rFonts w:hint="eastAsia" w:cs="Times New Roman"/>
        <w:b w:val="0"/>
        <w:i w:val="0"/>
        <w:iCs w:val="0"/>
        <w:caps w:val="0"/>
        <w:smallCaps w:val="0"/>
        <w:strike w:val="0"/>
        <w:dstrike w:val="0"/>
        <w:vanish w:val="0"/>
        <w:spacing w:val="0"/>
        <w:position w:val="0"/>
        <w:u w:val="none"/>
        <w:vertAlign w:val="baseline"/>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
    <w:nsid w:val="5A3B62E2"/>
    <w:multiLevelType w:val="singleLevel"/>
    <w:tmpl w:val="5A3B62E2"/>
    <w:lvl w:ilvl="0" w:tentative="0">
      <w:start w:val="4"/>
      <w:numFmt w:val="chineseCounting"/>
      <w:suff w:val="space"/>
      <w:lvlText w:val="第%1部分"/>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8F2"/>
    <w:rsid w:val="00001E2B"/>
    <w:rsid w:val="00002793"/>
    <w:rsid w:val="00004B27"/>
    <w:rsid w:val="00012F11"/>
    <w:rsid w:val="00015661"/>
    <w:rsid w:val="000166CA"/>
    <w:rsid w:val="00016EF4"/>
    <w:rsid w:val="00035BC0"/>
    <w:rsid w:val="00036C5C"/>
    <w:rsid w:val="000371B5"/>
    <w:rsid w:val="00047D45"/>
    <w:rsid w:val="00050135"/>
    <w:rsid w:val="0005170A"/>
    <w:rsid w:val="00057FF2"/>
    <w:rsid w:val="000620A0"/>
    <w:rsid w:val="00071955"/>
    <w:rsid w:val="00075FCB"/>
    <w:rsid w:val="000826BE"/>
    <w:rsid w:val="00086C6D"/>
    <w:rsid w:val="00087BC2"/>
    <w:rsid w:val="0009479C"/>
    <w:rsid w:val="00094FFB"/>
    <w:rsid w:val="000975A7"/>
    <w:rsid w:val="000A0C2D"/>
    <w:rsid w:val="000A18B9"/>
    <w:rsid w:val="000A225B"/>
    <w:rsid w:val="000A2FC3"/>
    <w:rsid w:val="000A3E99"/>
    <w:rsid w:val="000C09B3"/>
    <w:rsid w:val="000C0DDB"/>
    <w:rsid w:val="000D42D0"/>
    <w:rsid w:val="000E11FF"/>
    <w:rsid w:val="000E2384"/>
    <w:rsid w:val="000E3612"/>
    <w:rsid w:val="000E4503"/>
    <w:rsid w:val="000F0B17"/>
    <w:rsid w:val="00100528"/>
    <w:rsid w:val="00124547"/>
    <w:rsid w:val="00124DE2"/>
    <w:rsid w:val="00124FD3"/>
    <w:rsid w:val="00132A93"/>
    <w:rsid w:val="0013490E"/>
    <w:rsid w:val="00137FD7"/>
    <w:rsid w:val="00140927"/>
    <w:rsid w:val="00141167"/>
    <w:rsid w:val="00150796"/>
    <w:rsid w:val="00156940"/>
    <w:rsid w:val="001603B2"/>
    <w:rsid w:val="00162660"/>
    <w:rsid w:val="001673DC"/>
    <w:rsid w:val="00172A27"/>
    <w:rsid w:val="001735C7"/>
    <w:rsid w:val="0019231A"/>
    <w:rsid w:val="001938F6"/>
    <w:rsid w:val="00195AC7"/>
    <w:rsid w:val="001B09E8"/>
    <w:rsid w:val="001B0AD3"/>
    <w:rsid w:val="001B1F69"/>
    <w:rsid w:val="001B343E"/>
    <w:rsid w:val="001B5516"/>
    <w:rsid w:val="001B5847"/>
    <w:rsid w:val="001C003C"/>
    <w:rsid w:val="001C1660"/>
    <w:rsid w:val="001C759C"/>
    <w:rsid w:val="001C7B5D"/>
    <w:rsid w:val="001D276F"/>
    <w:rsid w:val="001D67DD"/>
    <w:rsid w:val="001E0222"/>
    <w:rsid w:val="001E0A22"/>
    <w:rsid w:val="001E0D8D"/>
    <w:rsid w:val="001E53A8"/>
    <w:rsid w:val="001E66CF"/>
    <w:rsid w:val="001F18EB"/>
    <w:rsid w:val="001F6E9E"/>
    <w:rsid w:val="0020374F"/>
    <w:rsid w:val="00204BB5"/>
    <w:rsid w:val="0020707D"/>
    <w:rsid w:val="00220C37"/>
    <w:rsid w:val="00226171"/>
    <w:rsid w:val="00227331"/>
    <w:rsid w:val="00235CA1"/>
    <w:rsid w:val="002416B0"/>
    <w:rsid w:val="00241D1D"/>
    <w:rsid w:val="00243250"/>
    <w:rsid w:val="002517E8"/>
    <w:rsid w:val="00253D84"/>
    <w:rsid w:val="002606DC"/>
    <w:rsid w:val="00261C55"/>
    <w:rsid w:val="00264790"/>
    <w:rsid w:val="002721A9"/>
    <w:rsid w:val="00275F7A"/>
    <w:rsid w:val="00276D4B"/>
    <w:rsid w:val="00280797"/>
    <w:rsid w:val="0028477D"/>
    <w:rsid w:val="00287957"/>
    <w:rsid w:val="002913BC"/>
    <w:rsid w:val="00291C18"/>
    <w:rsid w:val="00291E5B"/>
    <w:rsid w:val="00293AE4"/>
    <w:rsid w:val="00296786"/>
    <w:rsid w:val="002A1753"/>
    <w:rsid w:val="002A3374"/>
    <w:rsid w:val="002A7BAC"/>
    <w:rsid w:val="002B0B46"/>
    <w:rsid w:val="002B22F5"/>
    <w:rsid w:val="002B287B"/>
    <w:rsid w:val="002B517C"/>
    <w:rsid w:val="002B6E0B"/>
    <w:rsid w:val="002B7F4B"/>
    <w:rsid w:val="002C5F1D"/>
    <w:rsid w:val="002C7D34"/>
    <w:rsid w:val="002D6E60"/>
    <w:rsid w:val="002E056B"/>
    <w:rsid w:val="002E0CE1"/>
    <w:rsid w:val="002E49A6"/>
    <w:rsid w:val="002E7912"/>
    <w:rsid w:val="002F0B9A"/>
    <w:rsid w:val="002F12FA"/>
    <w:rsid w:val="002F2D9D"/>
    <w:rsid w:val="002F5934"/>
    <w:rsid w:val="00301679"/>
    <w:rsid w:val="00307A9E"/>
    <w:rsid w:val="00307B88"/>
    <w:rsid w:val="003127B1"/>
    <w:rsid w:val="003130CF"/>
    <w:rsid w:val="00313967"/>
    <w:rsid w:val="0031428D"/>
    <w:rsid w:val="00316988"/>
    <w:rsid w:val="00320012"/>
    <w:rsid w:val="00322895"/>
    <w:rsid w:val="00323CAF"/>
    <w:rsid w:val="00327BDB"/>
    <w:rsid w:val="00333F95"/>
    <w:rsid w:val="00342A64"/>
    <w:rsid w:val="00343238"/>
    <w:rsid w:val="00347784"/>
    <w:rsid w:val="00352E60"/>
    <w:rsid w:val="00357568"/>
    <w:rsid w:val="00367A05"/>
    <w:rsid w:val="00377467"/>
    <w:rsid w:val="003775CB"/>
    <w:rsid w:val="003842D0"/>
    <w:rsid w:val="00386732"/>
    <w:rsid w:val="003925CA"/>
    <w:rsid w:val="003939E3"/>
    <w:rsid w:val="00394919"/>
    <w:rsid w:val="003A073B"/>
    <w:rsid w:val="003A0F40"/>
    <w:rsid w:val="003A162A"/>
    <w:rsid w:val="003A5096"/>
    <w:rsid w:val="003A7FBF"/>
    <w:rsid w:val="003B1034"/>
    <w:rsid w:val="003B41F7"/>
    <w:rsid w:val="003B53D2"/>
    <w:rsid w:val="003C1B20"/>
    <w:rsid w:val="003C1C76"/>
    <w:rsid w:val="003C3EA1"/>
    <w:rsid w:val="003E1F62"/>
    <w:rsid w:val="003E3262"/>
    <w:rsid w:val="003E33F4"/>
    <w:rsid w:val="003E4BBA"/>
    <w:rsid w:val="003E5578"/>
    <w:rsid w:val="003E574A"/>
    <w:rsid w:val="003E66AB"/>
    <w:rsid w:val="004013A1"/>
    <w:rsid w:val="00401A2C"/>
    <w:rsid w:val="00404786"/>
    <w:rsid w:val="00410AC7"/>
    <w:rsid w:val="004159D9"/>
    <w:rsid w:val="004249C1"/>
    <w:rsid w:val="00426875"/>
    <w:rsid w:val="00441FF8"/>
    <w:rsid w:val="0044229F"/>
    <w:rsid w:val="00444BAC"/>
    <w:rsid w:val="0044579D"/>
    <w:rsid w:val="004467BB"/>
    <w:rsid w:val="00450B74"/>
    <w:rsid w:val="004528A6"/>
    <w:rsid w:val="00456C79"/>
    <w:rsid w:val="00466471"/>
    <w:rsid w:val="00467D74"/>
    <w:rsid w:val="004723C4"/>
    <w:rsid w:val="00475597"/>
    <w:rsid w:val="00476347"/>
    <w:rsid w:val="00477B31"/>
    <w:rsid w:val="00477EB8"/>
    <w:rsid w:val="00486E3A"/>
    <w:rsid w:val="00491B38"/>
    <w:rsid w:val="00495250"/>
    <w:rsid w:val="00495784"/>
    <w:rsid w:val="00495E45"/>
    <w:rsid w:val="004A21CB"/>
    <w:rsid w:val="004A5FAE"/>
    <w:rsid w:val="004B2A97"/>
    <w:rsid w:val="004B3E7A"/>
    <w:rsid w:val="004B4E44"/>
    <w:rsid w:val="004B5423"/>
    <w:rsid w:val="004B7D3D"/>
    <w:rsid w:val="004C021B"/>
    <w:rsid w:val="004C1FFA"/>
    <w:rsid w:val="004C624A"/>
    <w:rsid w:val="004D6BFE"/>
    <w:rsid w:val="004D72EA"/>
    <w:rsid w:val="004E2E43"/>
    <w:rsid w:val="004E4CEB"/>
    <w:rsid w:val="004E6907"/>
    <w:rsid w:val="004E6FD1"/>
    <w:rsid w:val="004E7365"/>
    <w:rsid w:val="004F2563"/>
    <w:rsid w:val="004F6A78"/>
    <w:rsid w:val="004F7A0C"/>
    <w:rsid w:val="005006D6"/>
    <w:rsid w:val="005018BE"/>
    <w:rsid w:val="00503235"/>
    <w:rsid w:val="00505556"/>
    <w:rsid w:val="00505939"/>
    <w:rsid w:val="0051558E"/>
    <w:rsid w:val="00523780"/>
    <w:rsid w:val="00525644"/>
    <w:rsid w:val="00526D96"/>
    <w:rsid w:val="005303B5"/>
    <w:rsid w:val="005338CB"/>
    <w:rsid w:val="00535F8C"/>
    <w:rsid w:val="00536CAF"/>
    <w:rsid w:val="00541187"/>
    <w:rsid w:val="00544B93"/>
    <w:rsid w:val="0055158B"/>
    <w:rsid w:val="00552E38"/>
    <w:rsid w:val="00553154"/>
    <w:rsid w:val="005554CC"/>
    <w:rsid w:val="00556493"/>
    <w:rsid w:val="00557DD5"/>
    <w:rsid w:val="005733D9"/>
    <w:rsid w:val="0058341A"/>
    <w:rsid w:val="005974C9"/>
    <w:rsid w:val="005A633C"/>
    <w:rsid w:val="005A6EBB"/>
    <w:rsid w:val="005B717E"/>
    <w:rsid w:val="005C5C57"/>
    <w:rsid w:val="005D6BA4"/>
    <w:rsid w:val="005E0F38"/>
    <w:rsid w:val="005E45F3"/>
    <w:rsid w:val="005E5261"/>
    <w:rsid w:val="005F18B8"/>
    <w:rsid w:val="005F45EA"/>
    <w:rsid w:val="0060090E"/>
    <w:rsid w:val="00601B38"/>
    <w:rsid w:val="00602062"/>
    <w:rsid w:val="00603071"/>
    <w:rsid w:val="00607220"/>
    <w:rsid w:val="0061555A"/>
    <w:rsid w:val="00621174"/>
    <w:rsid w:val="0062267F"/>
    <w:rsid w:val="006325D6"/>
    <w:rsid w:val="00632AD9"/>
    <w:rsid w:val="006344F5"/>
    <w:rsid w:val="00635F6F"/>
    <w:rsid w:val="00643E4D"/>
    <w:rsid w:val="0064621E"/>
    <w:rsid w:val="00652098"/>
    <w:rsid w:val="006533F0"/>
    <w:rsid w:val="0065360D"/>
    <w:rsid w:val="00663A48"/>
    <w:rsid w:val="00680088"/>
    <w:rsid w:val="00681336"/>
    <w:rsid w:val="0068566E"/>
    <w:rsid w:val="00694A07"/>
    <w:rsid w:val="006A2FAF"/>
    <w:rsid w:val="006A5D93"/>
    <w:rsid w:val="006B2FC6"/>
    <w:rsid w:val="006B450B"/>
    <w:rsid w:val="006B5E05"/>
    <w:rsid w:val="006B7EA6"/>
    <w:rsid w:val="006C0DE5"/>
    <w:rsid w:val="006D0DE1"/>
    <w:rsid w:val="006D4693"/>
    <w:rsid w:val="006D491E"/>
    <w:rsid w:val="006D65FB"/>
    <w:rsid w:val="006D7E92"/>
    <w:rsid w:val="006E0A69"/>
    <w:rsid w:val="006E2DBB"/>
    <w:rsid w:val="006E43EE"/>
    <w:rsid w:val="006F3247"/>
    <w:rsid w:val="006F3E46"/>
    <w:rsid w:val="006F610C"/>
    <w:rsid w:val="006F6163"/>
    <w:rsid w:val="00701099"/>
    <w:rsid w:val="00717AB0"/>
    <w:rsid w:val="0073115A"/>
    <w:rsid w:val="00731374"/>
    <w:rsid w:val="00745679"/>
    <w:rsid w:val="00746660"/>
    <w:rsid w:val="0074763F"/>
    <w:rsid w:val="007522DF"/>
    <w:rsid w:val="00752B01"/>
    <w:rsid w:val="0075345D"/>
    <w:rsid w:val="00757405"/>
    <w:rsid w:val="007579B4"/>
    <w:rsid w:val="0076256D"/>
    <w:rsid w:val="00762807"/>
    <w:rsid w:val="00770536"/>
    <w:rsid w:val="00772347"/>
    <w:rsid w:val="00772B73"/>
    <w:rsid w:val="007742BD"/>
    <w:rsid w:val="00783C1F"/>
    <w:rsid w:val="00784F5E"/>
    <w:rsid w:val="00785708"/>
    <w:rsid w:val="00785AB9"/>
    <w:rsid w:val="007919B8"/>
    <w:rsid w:val="0079450E"/>
    <w:rsid w:val="00794885"/>
    <w:rsid w:val="0079490D"/>
    <w:rsid w:val="007967E2"/>
    <w:rsid w:val="007A1936"/>
    <w:rsid w:val="007A51D3"/>
    <w:rsid w:val="007A6B7C"/>
    <w:rsid w:val="007C201E"/>
    <w:rsid w:val="007C7155"/>
    <w:rsid w:val="007D4F56"/>
    <w:rsid w:val="007D734C"/>
    <w:rsid w:val="007E1618"/>
    <w:rsid w:val="007E25D4"/>
    <w:rsid w:val="007E3B70"/>
    <w:rsid w:val="007E5A1E"/>
    <w:rsid w:val="007F5B8D"/>
    <w:rsid w:val="0081181C"/>
    <w:rsid w:val="00812B45"/>
    <w:rsid w:val="00817D6D"/>
    <w:rsid w:val="00822211"/>
    <w:rsid w:val="00823D80"/>
    <w:rsid w:val="00824B82"/>
    <w:rsid w:val="00836177"/>
    <w:rsid w:val="0084007E"/>
    <w:rsid w:val="00845DD7"/>
    <w:rsid w:val="00852E89"/>
    <w:rsid w:val="008563ED"/>
    <w:rsid w:val="00861142"/>
    <w:rsid w:val="008654D9"/>
    <w:rsid w:val="00873918"/>
    <w:rsid w:val="00877231"/>
    <w:rsid w:val="008772FA"/>
    <w:rsid w:val="00883C8C"/>
    <w:rsid w:val="00897766"/>
    <w:rsid w:val="008A3A99"/>
    <w:rsid w:val="008A5ED8"/>
    <w:rsid w:val="008A6792"/>
    <w:rsid w:val="008A7779"/>
    <w:rsid w:val="008A7EB3"/>
    <w:rsid w:val="008B1664"/>
    <w:rsid w:val="008B30CE"/>
    <w:rsid w:val="008C05D8"/>
    <w:rsid w:val="008C639A"/>
    <w:rsid w:val="008C674F"/>
    <w:rsid w:val="008E47E2"/>
    <w:rsid w:val="008F1E62"/>
    <w:rsid w:val="008F43DA"/>
    <w:rsid w:val="008F5249"/>
    <w:rsid w:val="008F5471"/>
    <w:rsid w:val="009011DB"/>
    <w:rsid w:val="00901AC8"/>
    <w:rsid w:val="009026D2"/>
    <w:rsid w:val="00913F38"/>
    <w:rsid w:val="00914876"/>
    <w:rsid w:val="00916D3C"/>
    <w:rsid w:val="00921D8B"/>
    <w:rsid w:val="0093465E"/>
    <w:rsid w:val="009359BD"/>
    <w:rsid w:val="00936095"/>
    <w:rsid w:val="009430AE"/>
    <w:rsid w:val="00943F1E"/>
    <w:rsid w:val="009442E5"/>
    <w:rsid w:val="00944BE5"/>
    <w:rsid w:val="0095031A"/>
    <w:rsid w:val="00953597"/>
    <w:rsid w:val="00957E27"/>
    <w:rsid w:val="009673E7"/>
    <w:rsid w:val="00972E2B"/>
    <w:rsid w:val="00973F98"/>
    <w:rsid w:val="00974394"/>
    <w:rsid w:val="00974B4C"/>
    <w:rsid w:val="00975A7C"/>
    <w:rsid w:val="0097707C"/>
    <w:rsid w:val="00981642"/>
    <w:rsid w:val="009A1032"/>
    <w:rsid w:val="009A22D5"/>
    <w:rsid w:val="009A75F7"/>
    <w:rsid w:val="009B102A"/>
    <w:rsid w:val="009B13C8"/>
    <w:rsid w:val="009C1930"/>
    <w:rsid w:val="009C5C61"/>
    <w:rsid w:val="009C6058"/>
    <w:rsid w:val="009E33FD"/>
    <w:rsid w:val="009F70B2"/>
    <w:rsid w:val="009F77B9"/>
    <w:rsid w:val="00A055A8"/>
    <w:rsid w:val="00A130E7"/>
    <w:rsid w:val="00A22169"/>
    <w:rsid w:val="00A2701A"/>
    <w:rsid w:val="00A30D6F"/>
    <w:rsid w:val="00A3153B"/>
    <w:rsid w:val="00A400C8"/>
    <w:rsid w:val="00A5247F"/>
    <w:rsid w:val="00A53D1A"/>
    <w:rsid w:val="00A6471E"/>
    <w:rsid w:val="00A6637F"/>
    <w:rsid w:val="00A678B8"/>
    <w:rsid w:val="00A70BA4"/>
    <w:rsid w:val="00A73D19"/>
    <w:rsid w:val="00A80F29"/>
    <w:rsid w:val="00A82DE7"/>
    <w:rsid w:val="00A83A74"/>
    <w:rsid w:val="00A87CD7"/>
    <w:rsid w:val="00A901AA"/>
    <w:rsid w:val="00A93684"/>
    <w:rsid w:val="00A9459A"/>
    <w:rsid w:val="00AA17F0"/>
    <w:rsid w:val="00AA1EE3"/>
    <w:rsid w:val="00AC031B"/>
    <w:rsid w:val="00AC11E0"/>
    <w:rsid w:val="00AC49C2"/>
    <w:rsid w:val="00AD5CB9"/>
    <w:rsid w:val="00AD5FA0"/>
    <w:rsid w:val="00AE1344"/>
    <w:rsid w:val="00AE1CE5"/>
    <w:rsid w:val="00AE4E3A"/>
    <w:rsid w:val="00AE60B3"/>
    <w:rsid w:val="00AE645C"/>
    <w:rsid w:val="00AE75AE"/>
    <w:rsid w:val="00B01F54"/>
    <w:rsid w:val="00B067B0"/>
    <w:rsid w:val="00B21E82"/>
    <w:rsid w:val="00B23462"/>
    <w:rsid w:val="00B340D6"/>
    <w:rsid w:val="00B360C8"/>
    <w:rsid w:val="00B37410"/>
    <w:rsid w:val="00B418AE"/>
    <w:rsid w:val="00B455D0"/>
    <w:rsid w:val="00B475EB"/>
    <w:rsid w:val="00B55231"/>
    <w:rsid w:val="00B625AD"/>
    <w:rsid w:val="00B63AE5"/>
    <w:rsid w:val="00B81AFB"/>
    <w:rsid w:val="00B83EFE"/>
    <w:rsid w:val="00B96CD6"/>
    <w:rsid w:val="00BB3530"/>
    <w:rsid w:val="00BB5596"/>
    <w:rsid w:val="00BC0C16"/>
    <w:rsid w:val="00BC5EBD"/>
    <w:rsid w:val="00BD2724"/>
    <w:rsid w:val="00BE4E2E"/>
    <w:rsid w:val="00BE6343"/>
    <w:rsid w:val="00BF1C94"/>
    <w:rsid w:val="00BF1FC4"/>
    <w:rsid w:val="00BF4B56"/>
    <w:rsid w:val="00BF609B"/>
    <w:rsid w:val="00BF6584"/>
    <w:rsid w:val="00C04FBE"/>
    <w:rsid w:val="00C061BB"/>
    <w:rsid w:val="00C10F8F"/>
    <w:rsid w:val="00C11F00"/>
    <w:rsid w:val="00C1314F"/>
    <w:rsid w:val="00C17E2C"/>
    <w:rsid w:val="00C201A9"/>
    <w:rsid w:val="00C23C41"/>
    <w:rsid w:val="00C25139"/>
    <w:rsid w:val="00C31AD1"/>
    <w:rsid w:val="00C325AA"/>
    <w:rsid w:val="00C32EA0"/>
    <w:rsid w:val="00C340C7"/>
    <w:rsid w:val="00C34DCA"/>
    <w:rsid w:val="00C40056"/>
    <w:rsid w:val="00C40B12"/>
    <w:rsid w:val="00C56344"/>
    <w:rsid w:val="00C578E6"/>
    <w:rsid w:val="00C62CB1"/>
    <w:rsid w:val="00C646F4"/>
    <w:rsid w:val="00C64C8E"/>
    <w:rsid w:val="00C70F74"/>
    <w:rsid w:val="00C720B4"/>
    <w:rsid w:val="00C7211F"/>
    <w:rsid w:val="00C761A6"/>
    <w:rsid w:val="00C76B90"/>
    <w:rsid w:val="00C76EBD"/>
    <w:rsid w:val="00C77E93"/>
    <w:rsid w:val="00C82F5C"/>
    <w:rsid w:val="00C83FD5"/>
    <w:rsid w:val="00C9081F"/>
    <w:rsid w:val="00C90F90"/>
    <w:rsid w:val="00C95F5A"/>
    <w:rsid w:val="00CA7FB9"/>
    <w:rsid w:val="00CB73D5"/>
    <w:rsid w:val="00CC4D03"/>
    <w:rsid w:val="00CD2B69"/>
    <w:rsid w:val="00CE1D46"/>
    <w:rsid w:val="00CE377D"/>
    <w:rsid w:val="00CE4F1A"/>
    <w:rsid w:val="00CE626F"/>
    <w:rsid w:val="00CF2EC3"/>
    <w:rsid w:val="00CF6F3E"/>
    <w:rsid w:val="00CF71D6"/>
    <w:rsid w:val="00D07CFA"/>
    <w:rsid w:val="00D12BFA"/>
    <w:rsid w:val="00D162BE"/>
    <w:rsid w:val="00D205F6"/>
    <w:rsid w:val="00D22267"/>
    <w:rsid w:val="00D30911"/>
    <w:rsid w:val="00D46DF8"/>
    <w:rsid w:val="00D505EA"/>
    <w:rsid w:val="00D52686"/>
    <w:rsid w:val="00D5311A"/>
    <w:rsid w:val="00D544FD"/>
    <w:rsid w:val="00D56823"/>
    <w:rsid w:val="00D62913"/>
    <w:rsid w:val="00D66E67"/>
    <w:rsid w:val="00D7593D"/>
    <w:rsid w:val="00D77052"/>
    <w:rsid w:val="00D771DA"/>
    <w:rsid w:val="00D818AF"/>
    <w:rsid w:val="00D83B5C"/>
    <w:rsid w:val="00D847D4"/>
    <w:rsid w:val="00D84E29"/>
    <w:rsid w:val="00D867DD"/>
    <w:rsid w:val="00DA2789"/>
    <w:rsid w:val="00DA77C8"/>
    <w:rsid w:val="00DC1520"/>
    <w:rsid w:val="00DC4F2A"/>
    <w:rsid w:val="00DC6CFB"/>
    <w:rsid w:val="00DD4B7F"/>
    <w:rsid w:val="00DD5437"/>
    <w:rsid w:val="00DD6398"/>
    <w:rsid w:val="00DE2525"/>
    <w:rsid w:val="00DE73E3"/>
    <w:rsid w:val="00DE7950"/>
    <w:rsid w:val="00DF0622"/>
    <w:rsid w:val="00DF55B5"/>
    <w:rsid w:val="00E14BD3"/>
    <w:rsid w:val="00E16DC8"/>
    <w:rsid w:val="00E24BC7"/>
    <w:rsid w:val="00E25F28"/>
    <w:rsid w:val="00E26121"/>
    <w:rsid w:val="00E3346E"/>
    <w:rsid w:val="00E4468F"/>
    <w:rsid w:val="00E53E6D"/>
    <w:rsid w:val="00E64EE9"/>
    <w:rsid w:val="00E764B5"/>
    <w:rsid w:val="00E77502"/>
    <w:rsid w:val="00E85A02"/>
    <w:rsid w:val="00E86F23"/>
    <w:rsid w:val="00E87724"/>
    <w:rsid w:val="00E90651"/>
    <w:rsid w:val="00E951E7"/>
    <w:rsid w:val="00EA3FB5"/>
    <w:rsid w:val="00EA6712"/>
    <w:rsid w:val="00EA6CE8"/>
    <w:rsid w:val="00EB7FBF"/>
    <w:rsid w:val="00EC049D"/>
    <w:rsid w:val="00EC4CE3"/>
    <w:rsid w:val="00EC6A46"/>
    <w:rsid w:val="00ED4ED9"/>
    <w:rsid w:val="00EE3A7A"/>
    <w:rsid w:val="00EE638A"/>
    <w:rsid w:val="00EE7605"/>
    <w:rsid w:val="00EF1967"/>
    <w:rsid w:val="00EF6EAD"/>
    <w:rsid w:val="00EF7E50"/>
    <w:rsid w:val="00F0160B"/>
    <w:rsid w:val="00F043C8"/>
    <w:rsid w:val="00F05328"/>
    <w:rsid w:val="00F1393E"/>
    <w:rsid w:val="00F216DB"/>
    <w:rsid w:val="00F25C37"/>
    <w:rsid w:val="00F26020"/>
    <w:rsid w:val="00F32573"/>
    <w:rsid w:val="00F346A8"/>
    <w:rsid w:val="00F371C0"/>
    <w:rsid w:val="00F418A8"/>
    <w:rsid w:val="00F458FA"/>
    <w:rsid w:val="00F5056B"/>
    <w:rsid w:val="00F55C72"/>
    <w:rsid w:val="00F626D2"/>
    <w:rsid w:val="00F62C7A"/>
    <w:rsid w:val="00F62CF0"/>
    <w:rsid w:val="00F65B24"/>
    <w:rsid w:val="00F666B8"/>
    <w:rsid w:val="00F70220"/>
    <w:rsid w:val="00F71613"/>
    <w:rsid w:val="00F8175B"/>
    <w:rsid w:val="00F8179C"/>
    <w:rsid w:val="00F81BCF"/>
    <w:rsid w:val="00F82F20"/>
    <w:rsid w:val="00F83801"/>
    <w:rsid w:val="00F8528A"/>
    <w:rsid w:val="00F91837"/>
    <w:rsid w:val="00FA4554"/>
    <w:rsid w:val="00FA7644"/>
    <w:rsid w:val="00FB25B5"/>
    <w:rsid w:val="00FB306B"/>
    <w:rsid w:val="00FC58AD"/>
    <w:rsid w:val="00FC6CE3"/>
    <w:rsid w:val="00FE12E6"/>
    <w:rsid w:val="00FE4903"/>
    <w:rsid w:val="00FF12A3"/>
    <w:rsid w:val="00FF2E82"/>
    <w:rsid w:val="00FF5D20"/>
    <w:rsid w:val="0106226D"/>
    <w:rsid w:val="015C1ECA"/>
    <w:rsid w:val="01633E6D"/>
    <w:rsid w:val="018868DE"/>
    <w:rsid w:val="018A3C45"/>
    <w:rsid w:val="01F841BA"/>
    <w:rsid w:val="0250740B"/>
    <w:rsid w:val="025B020D"/>
    <w:rsid w:val="02DC55CD"/>
    <w:rsid w:val="03046CBF"/>
    <w:rsid w:val="035736E0"/>
    <w:rsid w:val="03C96270"/>
    <w:rsid w:val="03DC1160"/>
    <w:rsid w:val="03FE2C07"/>
    <w:rsid w:val="04244E0B"/>
    <w:rsid w:val="0431687F"/>
    <w:rsid w:val="043E3D9C"/>
    <w:rsid w:val="045A0431"/>
    <w:rsid w:val="04BA6172"/>
    <w:rsid w:val="04F010E1"/>
    <w:rsid w:val="05073D29"/>
    <w:rsid w:val="052D2811"/>
    <w:rsid w:val="05353E96"/>
    <w:rsid w:val="054A507A"/>
    <w:rsid w:val="05510B9B"/>
    <w:rsid w:val="057D5ED6"/>
    <w:rsid w:val="05977B05"/>
    <w:rsid w:val="05C80E06"/>
    <w:rsid w:val="05FD1A35"/>
    <w:rsid w:val="05FF71BC"/>
    <w:rsid w:val="063D5D7A"/>
    <w:rsid w:val="06671458"/>
    <w:rsid w:val="067A5313"/>
    <w:rsid w:val="0691229E"/>
    <w:rsid w:val="06D320BA"/>
    <w:rsid w:val="06F47E07"/>
    <w:rsid w:val="06FE0957"/>
    <w:rsid w:val="070D02A4"/>
    <w:rsid w:val="07410618"/>
    <w:rsid w:val="075C7947"/>
    <w:rsid w:val="07634137"/>
    <w:rsid w:val="07C92C5E"/>
    <w:rsid w:val="07DB30D2"/>
    <w:rsid w:val="08240FCE"/>
    <w:rsid w:val="08310CFD"/>
    <w:rsid w:val="085C5A58"/>
    <w:rsid w:val="08615836"/>
    <w:rsid w:val="08C260E6"/>
    <w:rsid w:val="08CE3326"/>
    <w:rsid w:val="09042041"/>
    <w:rsid w:val="0951670A"/>
    <w:rsid w:val="09520133"/>
    <w:rsid w:val="09545D1E"/>
    <w:rsid w:val="095B58F7"/>
    <w:rsid w:val="095C6341"/>
    <w:rsid w:val="0990470A"/>
    <w:rsid w:val="09E81CC5"/>
    <w:rsid w:val="0A005E76"/>
    <w:rsid w:val="0A181F6A"/>
    <w:rsid w:val="0A39718F"/>
    <w:rsid w:val="0A4522FE"/>
    <w:rsid w:val="0A5B13F3"/>
    <w:rsid w:val="0A735AF5"/>
    <w:rsid w:val="0A7D5AE6"/>
    <w:rsid w:val="0A8D4D4D"/>
    <w:rsid w:val="0AB74D91"/>
    <w:rsid w:val="0ADA6E18"/>
    <w:rsid w:val="0BD13F58"/>
    <w:rsid w:val="0BDF60C6"/>
    <w:rsid w:val="0C066A16"/>
    <w:rsid w:val="0C366417"/>
    <w:rsid w:val="0C4B0844"/>
    <w:rsid w:val="0CDD5D9A"/>
    <w:rsid w:val="0CE709B8"/>
    <w:rsid w:val="0CF17211"/>
    <w:rsid w:val="0CFC51A6"/>
    <w:rsid w:val="0D2D6BF8"/>
    <w:rsid w:val="0DC15DE8"/>
    <w:rsid w:val="0DF42F60"/>
    <w:rsid w:val="0DF90CB6"/>
    <w:rsid w:val="0E037595"/>
    <w:rsid w:val="0E194EBF"/>
    <w:rsid w:val="0E201C36"/>
    <w:rsid w:val="0E400C37"/>
    <w:rsid w:val="0E9771CC"/>
    <w:rsid w:val="0EE30F29"/>
    <w:rsid w:val="0EE62E4B"/>
    <w:rsid w:val="0F1F1231"/>
    <w:rsid w:val="0F374DAF"/>
    <w:rsid w:val="0F567EC7"/>
    <w:rsid w:val="0F5B0E66"/>
    <w:rsid w:val="0F6170CA"/>
    <w:rsid w:val="0FD71E53"/>
    <w:rsid w:val="0FEC72CC"/>
    <w:rsid w:val="0FEE31BB"/>
    <w:rsid w:val="10281EAA"/>
    <w:rsid w:val="10A85C90"/>
    <w:rsid w:val="10AD4C97"/>
    <w:rsid w:val="10BE19F2"/>
    <w:rsid w:val="10CA1D6B"/>
    <w:rsid w:val="10E46759"/>
    <w:rsid w:val="10E66B63"/>
    <w:rsid w:val="11083D4C"/>
    <w:rsid w:val="12087C0A"/>
    <w:rsid w:val="12564562"/>
    <w:rsid w:val="127D6894"/>
    <w:rsid w:val="127F4B59"/>
    <w:rsid w:val="12962710"/>
    <w:rsid w:val="129D2C3B"/>
    <w:rsid w:val="12AD13A6"/>
    <w:rsid w:val="12B569B2"/>
    <w:rsid w:val="12C93EFD"/>
    <w:rsid w:val="12F34CF0"/>
    <w:rsid w:val="132833B1"/>
    <w:rsid w:val="13524B5A"/>
    <w:rsid w:val="13655FD3"/>
    <w:rsid w:val="138A10CE"/>
    <w:rsid w:val="13D26BFD"/>
    <w:rsid w:val="13DF0DC5"/>
    <w:rsid w:val="13E1638A"/>
    <w:rsid w:val="13F5499C"/>
    <w:rsid w:val="143130EC"/>
    <w:rsid w:val="143742E6"/>
    <w:rsid w:val="144E7CE1"/>
    <w:rsid w:val="14702A36"/>
    <w:rsid w:val="14997C5D"/>
    <w:rsid w:val="14BE002A"/>
    <w:rsid w:val="14C36870"/>
    <w:rsid w:val="14D27922"/>
    <w:rsid w:val="152D1C21"/>
    <w:rsid w:val="155C2ADD"/>
    <w:rsid w:val="15724522"/>
    <w:rsid w:val="15827A75"/>
    <w:rsid w:val="15874FB8"/>
    <w:rsid w:val="15D2304D"/>
    <w:rsid w:val="15D77505"/>
    <w:rsid w:val="160F173C"/>
    <w:rsid w:val="163E592F"/>
    <w:rsid w:val="164E6913"/>
    <w:rsid w:val="166D7D74"/>
    <w:rsid w:val="169108E1"/>
    <w:rsid w:val="171202DD"/>
    <w:rsid w:val="17324E74"/>
    <w:rsid w:val="173A0183"/>
    <w:rsid w:val="17496E09"/>
    <w:rsid w:val="17884035"/>
    <w:rsid w:val="17A722E7"/>
    <w:rsid w:val="17CC084B"/>
    <w:rsid w:val="180E300D"/>
    <w:rsid w:val="18247B42"/>
    <w:rsid w:val="19242C83"/>
    <w:rsid w:val="194907C1"/>
    <w:rsid w:val="197F7D18"/>
    <w:rsid w:val="199104E6"/>
    <w:rsid w:val="19B533DF"/>
    <w:rsid w:val="19F12643"/>
    <w:rsid w:val="1A4D1130"/>
    <w:rsid w:val="1A837AA0"/>
    <w:rsid w:val="1AF775B1"/>
    <w:rsid w:val="1AFC52B8"/>
    <w:rsid w:val="1B4168EF"/>
    <w:rsid w:val="1B7D5441"/>
    <w:rsid w:val="1BA811A5"/>
    <w:rsid w:val="1BFA0BFA"/>
    <w:rsid w:val="1C1324BB"/>
    <w:rsid w:val="1C4D7639"/>
    <w:rsid w:val="1C9A78C1"/>
    <w:rsid w:val="1CBC42C9"/>
    <w:rsid w:val="1CFE5DC5"/>
    <w:rsid w:val="1D13413D"/>
    <w:rsid w:val="1D79537C"/>
    <w:rsid w:val="1DA34233"/>
    <w:rsid w:val="1DB33D7F"/>
    <w:rsid w:val="1DEB35F7"/>
    <w:rsid w:val="1E90690A"/>
    <w:rsid w:val="1EC8289E"/>
    <w:rsid w:val="1EE946C6"/>
    <w:rsid w:val="1EF6566F"/>
    <w:rsid w:val="1EF67FF8"/>
    <w:rsid w:val="1F2244BA"/>
    <w:rsid w:val="1F7D0662"/>
    <w:rsid w:val="1F980465"/>
    <w:rsid w:val="1FB92C7A"/>
    <w:rsid w:val="1FC42AD6"/>
    <w:rsid w:val="1FDE47B6"/>
    <w:rsid w:val="1FEE4898"/>
    <w:rsid w:val="200B787F"/>
    <w:rsid w:val="20240814"/>
    <w:rsid w:val="202A3A86"/>
    <w:rsid w:val="2055356E"/>
    <w:rsid w:val="205D118E"/>
    <w:rsid w:val="20BB4E25"/>
    <w:rsid w:val="20EC562A"/>
    <w:rsid w:val="21250280"/>
    <w:rsid w:val="21282D18"/>
    <w:rsid w:val="21CD0315"/>
    <w:rsid w:val="21ED73CF"/>
    <w:rsid w:val="21F417B1"/>
    <w:rsid w:val="222C4F14"/>
    <w:rsid w:val="224369C5"/>
    <w:rsid w:val="225773C5"/>
    <w:rsid w:val="226C23F5"/>
    <w:rsid w:val="22B209C0"/>
    <w:rsid w:val="22B347D0"/>
    <w:rsid w:val="22C13A7B"/>
    <w:rsid w:val="23134BF6"/>
    <w:rsid w:val="231B5C92"/>
    <w:rsid w:val="232A62BE"/>
    <w:rsid w:val="23345900"/>
    <w:rsid w:val="236B6EC9"/>
    <w:rsid w:val="240C359B"/>
    <w:rsid w:val="24802290"/>
    <w:rsid w:val="24C911A1"/>
    <w:rsid w:val="255067E1"/>
    <w:rsid w:val="256963E5"/>
    <w:rsid w:val="258D0920"/>
    <w:rsid w:val="261100D3"/>
    <w:rsid w:val="26144BEF"/>
    <w:rsid w:val="263303E2"/>
    <w:rsid w:val="264C3569"/>
    <w:rsid w:val="267F7713"/>
    <w:rsid w:val="27204A6F"/>
    <w:rsid w:val="275D6C46"/>
    <w:rsid w:val="27747686"/>
    <w:rsid w:val="27FA5A2A"/>
    <w:rsid w:val="28053CD1"/>
    <w:rsid w:val="28E34B77"/>
    <w:rsid w:val="28E37DE6"/>
    <w:rsid w:val="28FE7351"/>
    <w:rsid w:val="290A394E"/>
    <w:rsid w:val="29347F10"/>
    <w:rsid w:val="297246D1"/>
    <w:rsid w:val="298707EC"/>
    <w:rsid w:val="29B43815"/>
    <w:rsid w:val="29E3774D"/>
    <w:rsid w:val="2A1F653B"/>
    <w:rsid w:val="2A236E15"/>
    <w:rsid w:val="2A6A47DD"/>
    <w:rsid w:val="2AD77874"/>
    <w:rsid w:val="2ADD44AB"/>
    <w:rsid w:val="2B9A47E0"/>
    <w:rsid w:val="2B9A5882"/>
    <w:rsid w:val="2BE445D2"/>
    <w:rsid w:val="2C1C62D6"/>
    <w:rsid w:val="2C374800"/>
    <w:rsid w:val="2C812AF4"/>
    <w:rsid w:val="2C947DC2"/>
    <w:rsid w:val="2C9D4C45"/>
    <w:rsid w:val="2C9D5111"/>
    <w:rsid w:val="2CC74666"/>
    <w:rsid w:val="2CCF78DD"/>
    <w:rsid w:val="2D8848D3"/>
    <w:rsid w:val="2D9048C1"/>
    <w:rsid w:val="2DEF4B09"/>
    <w:rsid w:val="2E1D3751"/>
    <w:rsid w:val="2E2127BE"/>
    <w:rsid w:val="2E667100"/>
    <w:rsid w:val="2E6B68C9"/>
    <w:rsid w:val="2E8E1F2D"/>
    <w:rsid w:val="2E927BC5"/>
    <w:rsid w:val="2ED429B0"/>
    <w:rsid w:val="2ED52D29"/>
    <w:rsid w:val="2EE23594"/>
    <w:rsid w:val="2F060D75"/>
    <w:rsid w:val="2F1A11C9"/>
    <w:rsid w:val="2FAE008B"/>
    <w:rsid w:val="2FCF6EAF"/>
    <w:rsid w:val="303970F8"/>
    <w:rsid w:val="30435C4D"/>
    <w:rsid w:val="30A56CB2"/>
    <w:rsid w:val="31E00E78"/>
    <w:rsid w:val="325D230D"/>
    <w:rsid w:val="32623F78"/>
    <w:rsid w:val="32701B95"/>
    <w:rsid w:val="32866D02"/>
    <w:rsid w:val="32D6510D"/>
    <w:rsid w:val="3356613B"/>
    <w:rsid w:val="337B245D"/>
    <w:rsid w:val="33824D3D"/>
    <w:rsid w:val="33A61D3B"/>
    <w:rsid w:val="33A874D0"/>
    <w:rsid w:val="33B34976"/>
    <w:rsid w:val="33BC6729"/>
    <w:rsid w:val="3419080C"/>
    <w:rsid w:val="344F1CFB"/>
    <w:rsid w:val="34764031"/>
    <w:rsid w:val="347F1126"/>
    <w:rsid w:val="34FA1259"/>
    <w:rsid w:val="351953EA"/>
    <w:rsid w:val="357B34B8"/>
    <w:rsid w:val="35C27949"/>
    <w:rsid w:val="35CA2E06"/>
    <w:rsid w:val="35EE52C6"/>
    <w:rsid w:val="35F156D4"/>
    <w:rsid w:val="361F226B"/>
    <w:rsid w:val="363A75E8"/>
    <w:rsid w:val="366730D2"/>
    <w:rsid w:val="369D0AD3"/>
    <w:rsid w:val="36A50767"/>
    <w:rsid w:val="36B20C5E"/>
    <w:rsid w:val="37106723"/>
    <w:rsid w:val="373E7A66"/>
    <w:rsid w:val="37525A6F"/>
    <w:rsid w:val="375F5996"/>
    <w:rsid w:val="37F04D6B"/>
    <w:rsid w:val="384D6F5E"/>
    <w:rsid w:val="38873C3F"/>
    <w:rsid w:val="38C96A94"/>
    <w:rsid w:val="38CA53CB"/>
    <w:rsid w:val="38EA4FCC"/>
    <w:rsid w:val="3941410B"/>
    <w:rsid w:val="399B09BE"/>
    <w:rsid w:val="39F75A8F"/>
    <w:rsid w:val="3A0C57EA"/>
    <w:rsid w:val="3A3013A7"/>
    <w:rsid w:val="3A5267C1"/>
    <w:rsid w:val="3A796105"/>
    <w:rsid w:val="3AAB2D3C"/>
    <w:rsid w:val="3AF72E52"/>
    <w:rsid w:val="3B271BAD"/>
    <w:rsid w:val="3B396D2B"/>
    <w:rsid w:val="3B536881"/>
    <w:rsid w:val="3B8F3528"/>
    <w:rsid w:val="3BC01704"/>
    <w:rsid w:val="3C1B2D3C"/>
    <w:rsid w:val="3C216EBE"/>
    <w:rsid w:val="3CA95FA8"/>
    <w:rsid w:val="3D031413"/>
    <w:rsid w:val="3D087971"/>
    <w:rsid w:val="3D501EE7"/>
    <w:rsid w:val="3D5413B7"/>
    <w:rsid w:val="3D6A6ECE"/>
    <w:rsid w:val="3E153094"/>
    <w:rsid w:val="3E1F4150"/>
    <w:rsid w:val="3E4A204C"/>
    <w:rsid w:val="3E7414DC"/>
    <w:rsid w:val="3E935355"/>
    <w:rsid w:val="3E9E67C2"/>
    <w:rsid w:val="3EBB0239"/>
    <w:rsid w:val="3F192D45"/>
    <w:rsid w:val="3F434B7D"/>
    <w:rsid w:val="3F59421D"/>
    <w:rsid w:val="3F7F0C37"/>
    <w:rsid w:val="3F833522"/>
    <w:rsid w:val="3F856E82"/>
    <w:rsid w:val="3FEC5FEB"/>
    <w:rsid w:val="402A418A"/>
    <w:rsid w:val="404923B6"/>
    <w:rsid w:val="40BB11B3"/>
    <w:rsid w:val="40C4628A"/>
    <w:rsid w:val="40C57629"/>
    <w:rsid w:val="40D33E09"/>
    <w:rsid w:val="4129137A"/>
    <w:rsid w:val="414C388B"/>
    <w:rsid w:val="41966227"/>
    <w:rsid w:val="41BA37E0"/>
    <w:rsid w:val="41D2578A"/>
    <w:rsid w:val="41D80A34"/>
    <w:rsid w:val="41E869A6"/>
    <w:rsid w:val="41EB6877"/>
    <w:rsid w:val="421E042E"/>
    <w:rsid w:val="42446180"/>
    <w:rsid w:val="42AD51CF"/>
    <w:rsid w:val="42BD64A7"/>
    <w:rsid w:val="42D20D3B"/>
    <w:rsid w:val="42EB3B15"/>
    <w:rsid w:val="4315749D"/>
    <w:rsid w:val="437B537E"/>
    <w:rsid w:val="43B50941"/>
    <w:rsid w:val="43B5729B"/>
    <w:rsid w:val="4405487C"/>
    <w:rsid w:val="447C36DA"/>
    <w:rsid w:val="450E0D10"/>
    <w:rsid w:val="45357742"/>
    <w:rsid w:val="467A2159"/>
    <w:rsid w:val="46824ED7"/>
    <w:rsid w:val="46924C22"/>
    <w:rsid w:val="46AA447A"/>
    <w:rsid w:val="46CC505D"/>
    <w:rsid w:val="4733576A"/>
    <w:rsid w:val="47595EC0"/>
    <w:rsid w:val="47A6270C"/>
    <w:rsid w:val="47AD04B4"/>
    <w:rsid w:val="47DE03DC"/>
    <w:rsid w:val="47E41808"/>
    <w:rsid w:val="47E827A5"/>
    <w:rsid w:val="47FB2A2F"/>
    <w:rsid w:val="480043CC"/>
    <w:rsid w:val="4822733D"/>
    <w:rsid w:val="48257466"/>
    <w:rsid w:val="484E50EB"/>
    <w:rsid w:val="485D4CE2"/>
    <w:rsid w:val="487268CA"/>
    <w:rsid w:val="48A33496"/>
    <w:rsid w:val="48B63D74"/>
    <w:rsid w:val="48B92100"/>
    <w:rsid w:val="49410694"/>
    <w:rsid w:val="49676AC2"/>
    <w:rsid w:val="497037A1"/>
    <w:rsid w:val="4A377799"/>
    <w:rsid w:val="4A5B0161"/>
    <w:rsid w:val="4A8C1E1A"/>
    <w:rsid w:val="4AEA1722"/>
    <w:rsid w:val="4AF375B5"/>
    <w:rsid w:val="4AFF4451"/>
    <w:rsid w:val="4B596BF1"/>
    <w:rsid w:val="4B7E6C53"/>
    <w:rsid w:val="4B8A1583"/>
    <w:rsid w:val="4B9103EE"/>
    <w:rsid w:val="4BAB6E1B"/>
    <w:rsid w:val="4BC20F7F"/>
    <w:rsid w:val="4C175D18"/>
    <w:rsid w:val="4C2620A8"/>
    <w:rsid w:val="4C314530"/>
    <w:rsid w:val="4C4A10DD"/>
    <w:rsid w:val="4C510277"/>
    <w:rsid w:val="4C7A28F6"/>
    <w:rsid w:val="4C8B2CB4"/>
    <w:rsid w:val="4CE3251A"/>
    <w:rsid w:val="4CF03FBE"/>
    <w:rsid w:val="4D212D48"/>
    <w:rsid w:val="4D3F2718"/>
    <w:rsid w:val="4D5F314F"/>
    <w:rsid w:val="4D84372C"/>
    <w:rsid w:val="4D8466D9"/>
    <w:rsid w:val="4DA3262E"/>
    <w:rsid w:val="4DA7656D"/>
    <w:rsid w:val="4DB03CC7"/>
    <w:rsid w:val="4DFD326B"/>
    <w:rsid w:val="4E1B731F"/>
    <w:rsid w:val="4E3B0214"/>
    <w:rsid w:val="4E497CE8"/>
    <w:rsid w:val="4E56790B"/>
    <w:rsid w:val="4ED959E6"/>
    <w:rsid w:val="4EE97AE0"/>
    <w:rsid w:val="4EF5420E"/>
    <w:rsid w:val="4F2D3ABE"/>
    <w:rsid w:val="4F4B734C"/>
    <w:rsid w:val="4FB616B7"/>
    <w:rsid w:val="4FC040D0"/>
    <w:rsid w:val="4FE51966"/>
    <w:rsid w:val="4FEC5598"/>
    <w:rsid w:val="50330A42"/>
    <w:rsid w:val="507220D3"/>
    <w:rsid w:val="50BA4756"/>
    <w:rsid w:val="50E56A50"/>
    <w:rsid w:val="513057E1"/>
    <w:rsid w:val="51453C37"/>
    <w:rsid w:val="51700BFA"/>
    <w:rsid w:val="518D4D66"/>
    <w:rsid w:val="51FA4679"/>
    <w:rsid w:val="521251F9"/>
    <w:rsid w:val="521B6179"/>
    <w:rsid w:val="52395A9D"/>
    <w:rsid w:val="523A138B"/>
    <w:rsid w:val="525C5155"/>
    <w:rsid w:val="52661F43"/>
    <w:rsid w:val="52727840"/>
    <w:rsid w:val="52D63144"/>
    <w:rsid w:val="530727CC"/>
    <w:rsid w:val="531A52BE"/>
    <w:rsid w:val="532E1A68"/>
    <w:rsid w:val="53536817"/>
    <w:rsid w:val="53EB7A54"/>
    <w:rsid w:val="53F561D7"/>
    <w:rsid w:val="53F93DAA"/>
    <w:rsid w:val="54372155"/>
    <w:rsid w:val="54780E7D"/>
    <w:rsid w:val="548871D1"/>
    <w:rsid w:val="54B827DE"/>
    <w:rsid w:val="55027553"/>
    <w:rsid w:val="552006FE"/>
    <w:rsid w:val="552F5B33"/>
    <w:rsid w:val="55386DCF"/>
    <w:rsid w:val="555B1052"/>
    <w:rsid w:val="557B443D"/>
    <w:rsid w:val="5592642A"/>
    <w:rsid w:val="55D17DAA"/>
    <w:rsid w:val="55FD40F3"/>
    <w:rsid w:val="56082E42"/>
    <w:rsid w:val="5611468B"/>
    <w:rsid w:val="562227C0"/>
    <w:rsid w:val="5623150F"/>
    <w:rsid w:val="563D3CBB"/>
    <w:rsid w:val="56B24D3D"/>
    <w:rsid w:val="570E487B"/>
    <w:rsid w:val="574D0402"/>
    <w:rsid w:val="57627349"/>
    <w:rsid w:val="57661291"/>
    <w:rsid w:val="57687992"/>
    <w:rsid w:val="578177A6"/>
    <w:rsid w:val="57C02A0B"/>
    <w:rsid w:val="58121DF6"/>
    <w:rsid w:val="5818414E"/>
    <w:rsid w:val="582E5418"/>
    <w:rsid w:val="58516F3A"/>
    <w:rsid w:val="5854176C"/>
    <w:rsid w:val="587D7CF1"/>
    <w:rsid w:val="58C13DA0"/>
    <w:rsid w:val="58CB063C"/>
    <w:rsid w:val="58D60D12"/>
    <w:rsid w:val="593D2546"/>
    <w:rsid w:val="59473C3E"/>
    <w:rsid w:val="595150FA"/>
    <w:rsid w:val="59646C5C"/>
    <w:rsid w:val="59A33D0C"/>
    <w:rsid w:val="59F51714"/>
    <w:rsid w:val="59FC23B1"/>
    <w:rsid w:val="5A0A6B2E"/>
    <w:rsid w:val="5A342FDD"/>
    <w:rsid w:val="5A3F3B9D"/>
    <w:rsid w:val="5ABC7470"/>
    <w:rsid w:val="5ADF21A3"/>
    <w:rsid w:val="5AE307F2"/>
    <w:rsid w:val="5AED111A"/>
    <w:rsid w:val="5AF73606"/>
    <w:rsid w:val="5AFF40F7"/>
    <w:rsid w:val="5B1F4FDA"/>
    <w:rsid w:val="5B69457B"/>
    <w:rsid w:val="5B873AFF"/>
    <w:rsid w:val="5B9540F3"/>
    <w:rsid w:val="5BAD71A6"/>
    <w:rsid w:val="5BD84B84"/>
    <w:rsid w:val="5BE2090E"/>
    <w:rsid w:val="5CCB3EFB"/>
    <w:rsid w:val="5CE33B34"/>
    <w:rsid w:val="5CE64BB4"/>
    <w:rsid w:val="5D016158"/>
    <w:rsid w:val="5DF95D5F"/>
    <w:rsid w:val="5E116AC3"/>
    <w:rsid w:val="5E1729D4"/>
    <w:rsid w:val="5EC52C7C"/>
    <w:rsid w:val="5EED6DC9"/>
    <w:rsid w:val="5F02308E"/>
    <w:rsid w:val="5F153841"/>
    <w:rsid w:val="5F3E516C"/>
    <w:rsid w:val="5F622888"/>
    <w:rsid w:val="5F730F92"/>
    <w:rsid w:val="5F7561FF"/>
    <w:rsid w:val="5FB11DC8"/>
    <w:rsid w:val="60AF2F50"/>
    <w:rsid w:val="60CE7904"/>
    <w:rsid w:val="610735DE"/>
    <w:rsid w:val="61103C18"/>
    <w:rsid w:val="61304555"/>
    <w:rsid w:val="61360BC5"/>
    <w:rsid w:val="614B52C4"/>
    <w:rsid w:val="615D2992"/>
    <w:rsid w:val="61AF39BE"/>
    <w:rsid w:val="61E902DD"/>
    <w:rsid w:val="620B79B1"/>
    <w:rsid w:val="621067CB"/>
    <w:rsid w:val="62254718"/>
    <w:rsid w:val="626E5B28"/>
    <w:rsid w:val="626F17CD"/>
    <w:rsid w:val="62AD39F3"/>
    <w:rsid w:val="62C067B1"/>
    <w:rsid w:val="634C0D15"/>
    <w:rsid w:val="63581D81"/>
    <w:rsid w:val="638F323E"/>
    <w:rsid w:val="63BD4ECC"/>
    <w:rsid w:val="63CD6FED"/>
    <w:rsid w:val="642032EF"/>
    <w:rsid w:val="64492B0F"/>
    <w:rsid w:val="644C52FC"/>
    <w:rsid w:val="64DB6772"/>
    <w:rsid w:val="64E20B91"/>
    <w:rsid w:val="656030DA"/>
    <w:rsid w:val="65B42CC3"/>
    <w:rsid w:val="65C617A4"/>
    <w:rsid w:val="65CA59FF"/>
    <w:rsid w:val="66510E3C"/>
    <w:rsid w:val="6678787D"/>
    <w:rsid w:val="6685592B"/>
    <w:rsid w:val="66B50538"/>
    <w:rsid w:val="66B61E75"/>
    <w:rsid w:val="66FB195F"/>
    <w:rsid w:val="67037522"/>
    <w:rsid w:val="670503B3"/>
    <w:rsid w:val="6721791D"/>
    <w:rsid w:val="67355858"/>
    <w:rsid w:val="673F0496"/>
    <w:rsid w:val="675D2A00"/>
    <w:rsid w:val="676C3D79"/>
    <w:rsid w:val="67A51457"/>
    <w:rsid w:val="67AF533A"/>
    <w:rsid w:val="6842279A"/>
    <w:rsid w:val="68C53E38"/>
    <w:rsid w:val="68FF5C91"/>
    <w:rsid w:val="69002865"/>
    <w:rsid w:val="69192135"/>
    <w:rsid w:val="694B095B"/>
    <w:rsid w:val="69946F86"/>
    <w:rsid w:val="6A145595"/>
    <w:rsid w:val="6A593B5B"/>
    <w:rsid w:val="6A5B144F"/>
    <w:rsid w:val="6A6110B8"/>
    <w:rsid w:val="6A890F9B"/>
    <w:rsid w:val="6ACC5D09"/>
    <w:rsid w:val="6AF16FEB"/>
    <w:rsid w:val="6B3A398B"/>
    <w:rsid w:val="6B3F219D"/>
    <w:rsid w:val="6B41183D"/>
    <w:rsid w:val="6B4C0154"/>
    <w:rsid w:val="6B4E23F6"/>
    <w:rsid w:val="6B60352C"/>
    <w:rsid w:val="6B7E57FB"/>
    <w:rsid w:val="6B8C7DF9"/>
    <w:rsid w:val="6BD33E2D"/>
    <w:rsid w:val="6C0C4FA5"/>
    <w:rsid w:val="6C407BCB"/>
    <w:rsid w:val="6C7245DF"/>
    <w:rsid w:val="6C891EF1"/>
    <w:rsid w:val="6C9C7030"/>
    <w:rsid w:val="6CD107D3"/>
    <w:rsid w:val="6DA30942"/>
    <w:rsid w:val="6DB903BB"/>
    <w:rsid w:val="6DDB4781"/>
    <w:rsid w:val="6DE7156A"/>
    <w:rsid w:val="6DF169E5"/>
    <w:rsid w:val="6E144BC4"/>
    <w:rsid w:val="6E722D54"/>
    <w:rsid w:val="6E7573F6"/>
    <w:rsid w:val="6EE362EE"/>
    <w:rsid w:val="6F146AF3"/>
    <w:rsid w:val="6F263CF7"/>
    <w:rsid w:val="6F332F8D"/>
    <w:rsid w:val="6F3B144B"/>
    <w:rsid w:val="6F683614"/>
    <w:rsid w:val="6FBC77EF"/>
    <w:rsid w:val="6FC8772D"/>
    <w:rsid w:val="7002758F"/>
    <w:rsid w:val="707C5514"/>
    <w:rsid w:val="70AF59DD"/>
    <w:rsid w:val="70C57D79"/>
    <w:rsid w:val="710033D7"/>
    <w:rsid w:val="710871E1"/>
    <w:rsid w:val="71693EFE"/>
    <w:rsid w:val="71C06C46"/>
    <w:rsid w:val="71C750D6"/>
    <w:rsid w:val="71CC795B"/>
    <w:rsid w:val="71F36174"/>
    <w:rsid w:val="71FF5995"/>
    <w:rsid w:val="72051804"/>
    <w:rsid w:val="720F66B0"/>
    <w:rsid w:val="722D2747"/>
    <w:rsid w:val="72E115E8"/>
    <w:rsid w:val="734949FA"/>
    <w:rsid w:val="73732A70"/>
    <w:rsid w:val="737C1D54"/>
    <w:rsid w:val="74082384"/>
    <w:rsid w:val="74951474"/>
    <w:rsid w:val="74970500"/>
    <w:rsid w:val="749D0BD6"/>
    <w:rsid w:val="74F96347"/>
    <w:rsid w:val="756B529D"/>
    <w:rsid w:val="75AD7B3A"/>
    <w:rsid w:val="7659602D"/>
    <w:rsid w:val="76A97505"/>
    <w:rsid w:val="76B2794C"/>
    <w:rsid w:val="76FD4CF2"/>
    <w:rsid w:val="76FE474D"/>
    <w:rsid w:val="771D2091"/>
    <w:rsid w:val="774316A2"/>
    <w:rsid w:val="77436A68"/>
    <w:rsid w:val="776C15FD"/>
    <w:rsid w:val="779472F1"/>
    <w:rsid w:val="77B76A4D"/>
    <w:rsid w:val="77C91E4F"/>
    <w:rsid w:val="77CC285F"/>
    <w:rsid w:val="77DB20A7"/>
    <w:rsid w:val="77F22F5B"/>
    <w:rsid w:val="77FD543E"/>
    <w:rsid w:val="7829482C"/>
    <w:rsid w:val="785E3883"/>
    <w:rsid w:val="787A4DF9"/>
    <w:rsid w:val="788B5210"/>
    <w:rsid w:val="78967A87"/>
    <w:rsid w:val="789A1031"/>
    <w:rsid w:val="78D63A39"/>
    <w:rsid w:val="78E41993"/>
    <w:rsid w:val="78F74B19"/>
    <w:rsid w:val="7910269E"/>
    <w:rsid w:val="793E5EEA"/>
    <w:rsid w:val="79400BF9"/>
    <w:rsid w:val="79573A15"/>
    <w:rsid w:val="797565FF"/>
    <w:rsid w:val="797D6A7D"/>
    <w:rsid w:val="79832DE0"/>
    <w:rsid w:val="79AD4997"/>
    <w:rsid w:val="79B147E6"/>
    <w:rsid w:val="79C524DF"/>
    <w:rsid w:val="79DD502B"/>
    <w:rsid w:val="79DE6CC0"/>
    <w:rsid w:val="7A3A1C8C"/>
    <w:rsid w:val="7AFA032E"/>
    <w:rsid w:val="7B8E1DC2"/>
    <w:rsid w:val="7B9551E6"/>
    <w:rsid w:val="7BD521FD"/>
    <w:rsid w:val="7C05564C"/>
    <w:rsid w:val="7C12244D"/>
    <w:rsid w:val="7C1372F5"/>
    <w:rsid w:val="7C18112B"/>
    <w:rsid w:val="7C4B0857"/>
    <w:rsid w:val="7C8E4B9B"/>
    <w:rsid w:val="7C975972"/>
    <w:rsid w:val="7C9D73FF"/>
    <w:rsid w:val="7D0C6C45"/>
    <w:rsid w:val="7D2D095B"/>
    <w:rsid w:val="7D2D6502"/>
    <w:rsid w:val="7DB45E4A"/>
    <w:rsid w:val="7DBD0F16"/>
    <w:rsid w:val="7DC46614"/>
    <w:rsid w:val="7DE9640D"/>
    <w:rsid w:val="7E1F36AD"/>
    <w:rsid w:val="7E664DC5"/>
    <w:rsid w:val="7E952B32"/>
    <w:rsid w:val="7F5F7267"/>
    <w:rsid w:val="7FFA2119"/>
    <w:rsid w:val="7FFC23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keepLines/>
      <w:adjustRightInd w:val="0"/>
      <w:snapToGrid w:val="0"/>
      <w:spacing w:before="100" w:beforeLines="100" w:after="100" w:afterLines="100" w:line="300" w:lineRule="auto"/>
      <w:jc w:val="center"/>
      <w:outlineLvl w:val="0"/>
    </w:pPr>
    <w:rPr>
      <w:rFonts w:eastAsia="黑体"/>
      <w:b/>
      <w:kern w:val="44"/>
      <w:sz w:val="32"/>
      <w:szCs w:val="24"/>
    </w:rPr>
  </w:style>
  <w:style w:type="paragraph" w:styleId="2">
    <w:name w:val="heading 2"/>
    <w:basedOn w:val="1"/>
    <w:next w:val="1"/>
    <w:unhideWhenUsed/>
    <w:qFormat/>
    <w:uiPriority w:val="0"/>
    <w:pPr>
      <w:keepNext/>
      <w:keepLines/>
      <w:numPr>
        <w:ilvl w:val="1"/>
        <w:numId w:val="1"/>
      </w:numPr>
      <w:spacing w:beforeLines="50" w:afterLines="50"/>
      <w:jc w:val="left"/>
      <w:outlineLvl w:val="1"/>
    </w:pPr>
    <w:rPr>
      <w:rFonts w:ascii="Calibri Light" w:hAnsi="Calibri Light" w:eastAsia="黑体"/>
      <w:szCs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ascii="Calibri Light" w:hAnsi="Calibri Light" w:eastAsia="黑体"/>
      <w:sz w:val="20"/>
    </w:rPr>
  </w:style>
  <w:style w:type="paragraph" w:styleId="6">
    <w:name w:val="toc 3"/>
    <w:basedOn w:val="1"/>
    <w:next w:val="1"/>
    <w:qFormat/>
    <w:uiPriority w:val="0"/>
    <w:pPr>
      <w:ind w:left="420"/>
      <w:jc w:val="left"/>
    </w:pPr>
    <w:rPr>
      <w:rFonts w:ascii="Calibri" w:hAnsi="Calibri" w:cs="Calibri"/>
      <w:i/>
      <w:iCs/>
      <w:sz w:val="20"/>
    </w:rPr>
  </w:style>
  <w:style w:type="paragraph" w:styleId="7">
    <w:name w:val="Balloon Text"/>
    <w:basedOn w:val="1"/>
    <w:link w:val="26"/>
    <w:qFormat/>
    <w:uiPriority w:val="0"/>
    <w:rPr>
      <w:sz w:val="18"/>
      <w:szCs w:val="18"/>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toc 1"/>
    <w:basedOn w:val="1"/>
    <w:next w:val="1"/>
    <w:qFormat/>
    <w:uiPriority w:val="0"/>
    <w:pPr>
      <w:spacing w:before="120" w:after="120"/>
      <w:jc w:val="left"/>
    </w:pPr>
    <w:rPr>
      <w:rFonts w:ascii="Calibri" w:hAnsi="Calibri" w:cs="Calibri"/>
      <w:b/>
      <w:bCs/>
      <w:caps/>
      <w:sz w:val="20"/>
    </w:rPr>
  </w:style>
  <w:style w:type="paragraph" w:styleId="11">
    <w:name w:val="toc 2"/>
    <w:basedOn w:val="1"/>
    <w:next w:val="1"/>
    <w:qFormat/>
    <w:uiPriority w:val="0"/>
    <w:pPr>
      <w:ind w:left="210"/>
      <w:jc w:val="left"/>
    </w:pPr>
    <w:rPr>
      <w:rFonts w:ascii="Calibri" w:hAnsi="Calibri" w:cs="Calibri"/>
      <w:smallCaps/>
      <w:sz w:val="20"/>
    </w:rPr>
  </w:style>
  <w:style w:type="paragraph" w:styleId="12">
    <w:name w:val="Normal (Web)"/>
    <w:basedOn w:val="1"/>
    <w:qFormat/>
    <w:uiPriority w:val="99"/>
    <w:pPr>
      <w:spacing w:before="100" w:beforeAutospacing="1" w:after="100" w:afterAutospacing="1"/>
      <w:jc w:val="left"/>
    </w:pPr>
    <w:rPr>
      <w:rFonts w:ascii="宋体" w:hAnsi="宋体" w:cs="宋体"/>
      <w:kern w:val="0"/>
      <w:sz w:val="24"/>
      <w:szCs w:val="24"/>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qFormat/>
    <w:uiPriority w:val="0"/>
    <w:rPr>
      <w:b/>
    </w:rPr>
  </w:style>
  <w:style w:type="character" w:styleId="17">
    <w:name w:val="page number"/>
    <w:basedOn w:val="15"/>
    <w:qFormat/>
    <w:uiPriority w:val="0"/>
  </w:style>
  <w:style w:type="character" w:styleId="18">
    <w:name w:val="FollowedHyperlink"/>
    <w:basedOn w:val="15"/>
    <w:qFormat/>
    <w:uiPriority w:val="0"/>
    <w:rPr>
      <w:color w:val="333333"/>
      <w:u w:val="none"/>
    </w:rPr>
  </w:style>
  <w:style w:type="character" w:styleId="19">
    <w:name w:val="Hyperlink"/>
    <w:qFormat/>
    <w:uiPriority w:val="0"/>
    <w:rPr>
      <w:color w:val="0000FF"/>
      <w:u w:val="single"/>
    </w:rPr>
  </w:style>
  <w:style w:type="character" w:customStyle="1" w:styleId="20">
    <w:name w:val="font01"/>
    <w:basedOn w:val="15"/>
    <w:qFormat/>
    <w:uiPriority w:val="0"/>
    <w:rPr>
      <w:rFonts w:hint="eastAsia" w:ascii="黑体" w:hAnsi="宋体" w:eastAsia="黑体" w:cs="黑体"/>
      <w:color w:val="000000"/>
      <w:sz w:val="24"/>
      <w:szCs w:val="24"/>
      <w:u w:val="none"/>
    </w:rPr>
  </w:style>
  <w:style w:type="paragraph" w:styleId="21">
    <w:name w:val="List Paragraph"/>
    <w:basedOn w:val="1"/>
    <w:qFormat/>
    <w:uiPriority w:val="34"/>
    <w:pPr>
      <w:ind w:firstLine="420" w:firstLineChars="200"/>
    </w:pPr>
  </w:style>
  <w:style w:type="paragraph" w:customStyle="1" w:styleId="22">
    <w:name w:val="WPSOffice手动目录 1"/>
    <w:qFormat/>
    <w:uiPriority w:val="0"/>
    <w:rPr>
      <w:rFonts w:ascii="Times New Roman" w:hAnsi="Times New Roman" w:eastAsia="宋体" w:cs="Times New Roman"/>
      <w:lang w:val="en-US" w:eastAsia="zh-CN" w:bidi="ar-SA"/>
    </w:rPr>
  </w:style>
  <w:style w:type="paragraph" w:customStyle="1" w:styleId="23">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4">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25">
    <w:name w:val="NormalCharacter"/>
    <w:qFormat/>
    <w:uiPriority w:val="0"/>
  </w:style>
  <w:style w:type="character" w:customStyle="1" w:styleId="26">
    <w:name w:val="批注框文本 Char"/>
    <w:basedOn w:val="15"/>
    <w:link w:val="7"/>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footer" Target="footer1.xml"/><Relationship Id="rId34" Type="http://schemas.openxmlformats.org/officeDocument/2006/relationships/glossaryDocument" Target="glossary/document.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Sheet1!$A$28</c:f>
              <c:strCache>
                <c:ptCount val="1"/>
                <c:pt idx="0">
                  <c:v>2018年</c:v>
                </c:pt>
              </c:strCache>
            </c:strRef>
          </c:tx>
          <c:spPr>
            <a:solidFill>
              <a:schemeClr val="accent1"/>
            </a:solidFill>
            <a:ln>
              <a:noFill/>
            </a:ln>
            <a:effectLst>
              <a:innerShdw blurRad="114300">
                <a:schemeClr val="accent1"/>
              </a:innerShdw>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Sheet1!$B$27:$D$27</c:f>
              <c:strCache>
                <c:ptCount val="3"/>
                <c:pt idx="0">
                  <c:v>学生总数</c:v>
                </c:pt>
                <c:pt idx="1">
                  <c:v>招生人数</c:v>
                </c:pt>
                <c:pt idx="2">
                  <c:v>毕业人数</c:v>
                </c:pt>
              </c:strCache>
            </c:strRef>
          </c:cat>
          <c:val>
            <c:numRef>
              <c:f>Sheet1!$B$28:$D$28</c:f>
              <c:numCache>
                <c:formatCode>General</c:formatCode>
                <c:ptCount val="3"/>
                <c:pt idx="0">
                  <c:v>183555</c:v>
                </c:pt>
                <c:pt idx="1">
                  <c:v>71534</c:v>
                </c:pt>
                <c:pt idx="2">
                  <c:v>39369</c:v>
                </c:pt>
              </c:numCache>
            </c:numRef>
          </c:val>
        </c:ser>
        <c:ser>
          <c:idx val="1"/>
          <c:order val="1"/>
          <c:tx>
            <c:strRef>
              <c:f>Sheet1!$A$29</c:f>
              <c:strCache>
                <c:ptCount val="1"/>
                <c:pt idx="0">
                  <c:v>2019年</c:v>
                </c:pt>
              </c:strCache>
            </c:strRef>
          </c:tx>
          <c:spPr>
            <a:solidFill>
              <a:schemeClr val="accent2"/>
            </a:solidFill>
            <a:ln>
              <a:noFill/>
            </a:ln>
            <a:effectLst>
              <a:innerShdw blurRad="114300">
                <a:schemeClr val="accent2"/>
              </a:innerShdw>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Sheet1!$B$27:$D$27</c:f>
              <c:strCache>
                <c:ptCount val="3"/>
                <c:pt idx="0">
                  <c:v>学生总数</c:v>
                </c:pt>
                <c:pt idx="1">
                  <c:v>招生人数</c:v>
                </c:pt>
                <c:pt idx="2">
                  <c:v>毕业人数</c:v>
                </c:pt>
              </c:strCache>
            </c:strRef>
          </c:cat>
          <c:val>
            <c:numRef>
              <c:f>Sheet1!$B$29:$D$29</c:f>
              <c:numCache>
                <c:formatCode>General</c:formatCode>
                <c:ptCount val="3"/>
                <c:pt idx="0">
                  <c:v>202214</c:v>
                </c:pt>
                <c:pt idx="1">
                  <c:v>80529</c:v>
                </c:pt>
                <c:pt idx="2">
                  <c:v>50773</c:v>
                </c:pt>
              </c:numCache>
            </c:numRef>
          </c:val>
        </c:ser>
        <c:ser>
          <c:idx val="2"/>
          <c:order val="2"/>
          <c:tx>
            <c:strRef>
              <c:f>Sheet1!$A$30</c:f>
              <c:strCache>
                <c:ptCount val="1"/>
                <c:pt idx="0">
                  <c:v>2020年</c:v>
                </c:pt>
              </c:strCache>
            </c:strRef>
          </c:tx>
          <c:spPr>
            <a:solidFill>
              <a:schemeClr val="accent3"/>
            </a:solidFill>
            <a:ln>
              <a:noFill/>
            </a:ln>
            <a:effectLst>
              <a:innerShdw blurRad="114300">
                <a:schemeClr val="accent3"/>
              </a:innerShdw>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Sheet1!$B$27:$D$27</c:f>
              <c:strCache>
                <c:ptCount val="3"/>
                <c:pt idx="0">
                  <c:v>学生总数</c:v>
                </c:pt>
                <c:pt idx="1">
                  <c:v>招生人数</c:v>
                </c:pt>
                <c:pt idx="2">
                  <c:v>毕业人数</c:v>
                </c:pt>
              </c:strCache>
            </c:strRef>
          </c:cat>
          <c:val>
            <c:numRef>
              <c:f>Sheet1!$B$30:$D$30</c:f>
              <c:numCache>
                <c:formatCode>General</c:formatCode>
                <c:ptCount val="3"/>
                <c:pt idx="0">
                  <c:v>205216</c:v>
                </c:pt>
                <c:pt idx="1">
                  <c:v>76377</c:v>
                </c:pt>
                <c:pt idx="2">
                  <c:v>53907</c:v>
                </c:pt>
              </c:numCache>
            </c:numRef>
          </c:val>
        </c:ser>
        <c:dLbls>
          <c:showLegendKey val="0"/>
          <c:showVal val="1"/>
          <c:showCatName val="0"/>
          <c:showSerName val="0"/>
          <c:showPercent val="0"/>
          <c:showBubbleSize val="0"/>
        </c:dLbls>
        <c:gapWidth val="75"/>
        <c:overlap val="-25"/>
        <c:axId val="167721984"/>
        <c:axId val="167724160"/>
      </c:barChart>
      <c:catAx>
        <c:axId val="167721984"/>
        <c:scaling>
          <c:orientation val="minMax"/>
        </c:scaling>
        <c:delete val="0"/>
        <c:axPos val="b"/>
        <c:majorTickMark val="none"/>
        <c:minorTickMark val="none"/>
        <c:tickLblPos val="nextTo"/>
        <c:spPr>
          <a:noFill/>
          <a:ln w="19050"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67724160"/>
        <c:crosses val="autoZero"/>
        <c:auto val="1"/>
        <c:lblAlgn val="ctr"/>
        <c:lblOffset val="100"/>
        <c:noMultiLvlLbl val="0"/>
      </c:catAx>
      <c:valAx>
        <c:axId val="167724160"/>
        <c:scaling>
          <c:orientation val="minMax"/>
        </c:scaling>
        <c:delete val="0"/>
        <c:axPos val="l"/>
        <c:majorGridlines>
          <c:spPr>
            <a:ln w="6350"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67721984"/>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12700" cap="flat" cmpd="sng" algn="ctr">
      <a:solidFill>
        <a:schemeClr val="bg2"/>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学历结构</a:t>
            </a:r>
            <a:endParaRPr lang="zh-CN" altLang="en-US"/>
          </a:p>
        </c:rich>
      </c:tx>
      <c:layout/>
      <c:overlay val="0"/>
      <c:spPr>
        <a:noFill/>
        <a:ln>
          <a:noFill/>
        </a:ln>
        <a:effectLst/>
      </c:spPr>
    </c:title>
    <c:autoTitleDeleted val="0"/>
    <c:plotArea>
      <c:layout/>
      <c:pieChart>
        <c:varyColors val="1"/>
        <c:ser>
          <c:idx val="0"/>
          <c:order val="0"/>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manualLayout>
                  <c:x val="-0.0546730057787798"/>
                  <c:y val="0.135934368618044"/>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0.0275338109154747"/>
                  <c:y val="-0.222057942211257"/>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0.0468724760976726"/>
                  <c:y val="0.133454955617986"/>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Sheet1!$B$80:$D$80</c:f>
              <c:strCache>
                <c:ptCount val="3"/>
                <c:pt idx="0">
                  <c:v>研究生学历</c:v>
                </c:pt>
                <c:pt idx="1">
                  <c:v>本科学历</c:v>
                </c:pt>
                <c:pt idx="2">
                  <c:v>专科及以下</c:v>
                </c:pt>
              </c:strCache>
            </c:strRef>
          </c:cat>
          <c:val>
            <c:numRef>
              <c:f>Sheet1!$B$81:$D$81</c:f>
              <c:numCache>
                <c:formatCode>0.0%</c:formatCode>
                <c:ptCount val="3"/>
                <c:pt idx="0">
                  <c:v>0.113</c:v>
                </c:pt>
                <c:pt idx="1">
                  <c:v>0.749</c:v>
                </c:pt>
                <c:pt idx="2">
                  <c:v>0.138</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专业课教师职称结构</a:t>
            </a:r>
            <a:endParaRPr lang="zh-CN" altLang="en-US"/>
          </a:p>
        </c:rich>
      </c:tx>
      <c:layout/>
      <c:overlay val="0"/>
      <c:spPr>
        <a:noFill/>
        <a:ln>
          <a:noFill/>
        </a:ln>
        <a:effectLst/>
      </c:spPr>
    </c:title>
    <c:autoTitleDeleted val="0"/>
    <c:plotArea>
      <c:layout/>
      <c:pieChart>
        <c:varyColors val="1"/>
        <c:ser>
          <c:idx val="0"/>
          <c:order val="0"/>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0.0401903226018895"/>
                  <c:y val="0.116413051696389"/>
                </c:manualLayout>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en-US" altLang="zh-CN"/>
                      <a:t>11.7%</a:t>
                    </a:r>
                    <a:endParaRPr lang="en-US" altLang="zh-CN"/>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0.148520302216899"/>
                  <c:y val="-0.0491751472431337"/>
                </c:manualLayout>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en-US" altLang="zh-CN"/>
                      <a:t>29.4%</a:t>
                    </a:r>
                    <a:endParaRPr lang="en-US" altLang="zh-CN"/>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0.055197283673513"/>
                  <c:y val="-0.170399062902111"/>
                </c:manualLayout>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en-US" altLang="zh-CN"/>
                      <a:t>26.8</a:t>
                    </a:r>
                    <a:r>
                      <a:rPr lang="en-US"/>
                      <a:t>%</a:t>
                    </a:r>
                    <a:endParaRPr lang="en-US"/>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0.117461143082128"/>
                  <c:y val="0.101716444728168"/>
                </c:manualLayout>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en-US"/>
                      <a:t>32.1%</a:t>
                    </a:r>
                    <a:endParaRPr lang="en-US"/>
                  </a:p>
                </c:rich>
              </c:tx>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Sheet1!$B$89:$E$89</c:f>
              <c:strCache>
                <c:ptCount val="4"/>
                <c:pt idx="0">
                  <c:v>高级职称</c:v>
                </c:pt>
                <c:pt idx="1">
                  <c:v>中级职称</c:v>
                </c:pt>
                <c:pt idx="2">
                  <c:v>初级职称</c:v>
                </c:pt>
                <c:pt idx="3">
                  <c:v>未定职级</c:v>
                </c:pt>
              </c:strCache>
            </c:strRef>
          </c:cat>
          <c:val>
            <c:numRef>
              <c:f>Sheet1!$B$90:$E$90</c:f>
              <c:numCache>
                <c:formatCode>0.0%</c:formatCode>
                <c:ptCount val="4"/>
                <c:pt idx="0">
                  <c:v>0.117</c:v>
                </c:pt>
                <c:pt idx="1">
                  <c:v>0.294</c:v>
                </c:pt>
                <c:pt idx="2">
                  <c:v>0.268</c:v>
                </c:pt>
                <c:pt idx="3">
                  <c:v>0.321</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54eff475-b672-40dc-9064-5819fea28c82}"/>
        <w:style w:val=""/>
        <w:category>
          <w:name w:val="常规"/>
          <w:gallery w:val="placeholder"/>
        </w:category>
        <w:types>
          <w:type w:val="bbPlcHdr"/>
        </w:types>
        <w:behaviors>
          <w:behavior w:val="content"/>
        </w:behaviors>
        <w:description w:val=""/>
        <w:guid w:val="{54EFF475-B672-40DC-9064-5819FEA28C82}"/>
      </w:docPartPr>
      <w:docPartBody>
        <w:p>
          <w:r>
            <w:rPr>
              <w:color w:val="808080"/>
            </w:rPr>
            <w:t>单击此处输入文字。</w:t>
          </w:r>
        </w:p>
      </w:docPartBody>
    </w:docPart>
    <w:docPart>
      <w:docPartPr>
        <w:name w:val="{1fe7009c-d784-42f9-be21-a728ec4c76db}"/>
        <w:style w:val=""/>
        <w:category>
          <w:name w:val="常规"/>
          <w:gallery w:val="placeholder"/>
        </w:category>
        <w:types>
          <w:type w:val="bbPlcHdr"/>
        </w:types>
        <w:behaviors>
          <w:behavior w:val="content"/>
        </w:behaviors>
        <w:description w:val=""/>
        <w:guid w:val="{1FE7009C-D784-42F9-BE21-A728EC4C76DB}"/>
      </w:docPartPr>
      <w:docPartBody>
        <w:p>
          <w:r>
            <w:rPr>
              <w:color w:val="808080"/>
            </w:rPr>
            <w:t>单击此处输入文字。</w:t>
          </w:r>
        </w:p>
      </w:docPartBody>
    </w:docPart>
    <w:docPart>
      <w:docPartPr>
        <w:name w:val="{9f81683e-1c73-4d12-a968-a01fed389c29}"/>
        <w:style w:val=""/>
        <w:category>
          <w:name w:val="常规"/>
          <w:gallery w:val="placeholder"/>
        </w:category>
        <w:types>
          <w:type w:val="bbPlcHdr"/>
        </w:types>
        <w:behaviors>
          <w:behavior w:val="content"/>
        </w:behaviors>
        <w:description w:val=""/>
        <w:guid w:val="{9F81683E-1C73-4D12-A968-A01FED389C29}"/>
      </w:docPartPr>
      <w:docPartBody>
        <w:p>
          <w:r>
            <w:rPr>
              <w:color w:val="808080"/>
            </w:rPr>
            <w:t>单击此处输入文字。</w:t>
          </w:r>
        </w:p>
      </w:docPartBody>
    </w:docPart>
    <w:docPart>
      <w:docPartPr>
        <w:name w:val="{c03456bd-1f32-4523-97e3-6dd9c2dffcc2}"/>
        <w:style w:val=""/>
        <w:category>
          <w:name w:val="常规"/>
          <w:gallery w:val="placeholder"/>
        </w:category>
        <w:types>
          <w:type w:val="bbPlcHdr"/>
        </w:types>
        <w:behaviors>
          <w:behavior w:val="content"/>
        </w:behaviors>
        <w:description w:val=""/>
        <w:guid w:val="{C03456BD-1F32-4523-97E3-6DD9C2DFFCC2}"/>
      </w:docPartPr>
      <w:docPartBody>
        <w:p>
          <w:r>
            <w:rPr>
              <w:color w:val="808080"/>
            </w:rPr>
            <w:t>单击此处输入文字。</w:t>
          </w:r>
        </w:p>
      </w:docPartBody>
    </w:docPart>
    <w:docPart>
      <w:docPartPr>
        <w:name w:val="{7f32d81e-7635-4c15-8847-20ccf66988fd}"/>
        <w:style w:val=""/>
        <w:category>
          <w:name w:val="常规"/>
          <w:gallery w:val="placeholder"/>
        </w:category>
        <w:types>
          <w:type w:val="bbPlcHdr"/>
        </w:types>
        <w:behaviors>
          <w:behavior w:val="content"/>
        </w:behaviors>
        <w:description w:val=""/>
        <w:guid w:val="{7F32D81E-7635-4C15-8847-20CCF66988FD}"/>
      </w:docPartPr>
      <w:docPartBody>
        <w:p>
          <w:r>
            <w:rPr>
              <w:color w:val="808080"/>
            </w:rPr>
            <w:t>单击此处输入文字。</w:t>
          </w:r>
        </w:p>
      </w:docPartBody>
    </w:docPart>
    <w:docPart>
      <w:docPartPr>
        <w:name w:val="{2ab39c2e-612c-417d-8993-ae2b3c7afeaa}"/>
        <w:style w:val=""/>
        <w:category>
          <w:name w:val="常规"/>
          <w:gallery w:val="placeholder"/>
        </w:category>
        <w:types>
          <w:type w:val="bbPlcHdr"/>
        </w:types>
        <w:behaviors>
          <w:behavior w:val="content"/>
        </w:behaviors>
        <w:description w:val=""/>
        <w:guid w:val="{2AB39C2E-612C-417D-8993-AE2B3C7AFEAA}"/>
      </w:docPartPr>
      <w:docPartBody>
        <w:p>
          <w:r>
            <w:rPr>
              <w:color w:val="808080"/>
            </w:rPr>
            <w:t>单击此处输入文字。</w:t>
          </w:r>
        </w:p>
      </w:docPartBody>
    </w:docPart>
    <w:docPart>
      <w:docPartPr>
        <w:name w:val="{d3236a16-d965-4c0e-85d2-badebd2aa698}"/>
        <w:style w:val=""/>
        <w:category>
          <w:name w:val="常规"/>
          <w:gallery w:val="placeholder"/>
        </w:category>
        <w:types>
          <w:type w:val="bbPlcHdr"/>
        </w:types>
        <w:behaviors>
          <w:behavior w:val="content"/>
        </w:behaviors>
        <w:description w:val=""/>
        <w:guid w:val="{D3236A16-D965-4C0E-85D2-BADEBD2AA698}"/>
      </w:docPartPr>
      <w:docPartBody>
        <w:p>
          <w:r>
            <w:rPr>
              <w:color w:val="808080"/>
            </w:rPr>
            <w:t>单击此处输入文字。</w:t>
          </w:r>
        </w:p>
      </w:docPartBody>
    </w:docPart>
    <w:docPart>
      <w:docPartPr>
        <w:name w:val="A17A150778F8451E93372530A8BA64F5"/>
        <w:style w:val=""/>
        <w:category>
          <w:name w:val="常规"/>
          <w:gallery w:val="placeholder"/>
        </w:category>
        <w:types>
          <w:type w:val="bbPlcHdr"/>
        </w:types>
        <w:behaviors>
          <w:behavior w:val="content"/>
        </w:behaviors>
        <w:description w:val=""/>
        <w:guid w:val="{02D5E171-2325-4C7D-9CBD-8958997DB5D8}"/>
      </w:docPartPr>
      <w:docPartBody>
        <w:p>
          <w:pPr>
            <w:pStyle w:val="6"/>
          </w:pPr>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characterSpacingControl w:val="doNotCompress"/>
  <w:compat>
    <w:useFELayout/>
    <w:splitPgBreakAndParaMark/>
    <w:compatSetting w:name="compatibilityMode" w:uri="http://schemas.microsoft.com/office/word" w:val="14"/>
  </w:compat>
  <w:rsids>
    <w:rsidRoot w:val="00945566"/>
    <w:rsid w:val="0012307B"/>
    <w:rsid w:val="001B5095"/>
    <w:rsid w:val="002B7792"/>
    <w:rsid w:val="002C0880"/>
    <w:rsid w:val="002E7EF2"/>
    <w:rsid w:val="00462C00"/>
    <w:rsid w:val="0051593C"/>
    <w:rsid w:val="005F35E3"/>
    <w:rsid w:val="006A19DD"/>
    <w:rsid w:val="006C3C08"/>
    <w:rsid w:val="0078639B"/>
    <w:rsid w:val="00794D7B"/>
    <w:rsid w:val="008D1F68"/>
    <w:rsid w:val="00906DEA"/>
    <w:rsid w:val="00945566"/>
    <w:rsid w:val="00982044"/>
    <w:rsid w:val="00A237B6"/>
    <w:rsid w:val="00A24232"/>
    <w:rsid w:val="00A60ED7"/>
    <w:rsid w:val="00B246DF"/>
    <w:rsid w:val="00C15147"/>
    <w:rsid w:val="00C42088"/>
    <w:rsid w:val="00CF13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lang w:val="en-US" w:eastAsia="zh-CN"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customStyle="1" w:styleId="4">
    <w:name w:val="8A66B7A08B5F4CBFA9A5F465DDD352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
    <w:name w:val="20DD06A6328D4E5DB0093AB90779F0F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A17A150778F8451E93372530A8BA64F5"/>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C9AC384-240A-4C81-B281-60DC3236B34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53</Pages>
  <Words>3692</Words>
  <Characters>21048</Characters>
  <Lines>175</Lines>
  <Paragraphs>49</Paragraphs>
  <TotalTime>19342</TotalTime>
  <ScaleCrop>false</ScaleCrop>
  <LinksUpToDate>false</LinksUpToDate>
  <CharactersWithSpaces>24691</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2017-11-22T01:14:00Z</dcterms:created>
  <dc:creator>林芸</dc:creator>
  <cp:lastModifiedBy>暗香 </cp:lastModifiedBy>
  <cp:lastPrinted>2021-01-25T01:53:00Z</cp:lastPrinted>
  <dcterms:modified xsi:type="dcterms:W3CDTF">2022-04-11T06:40:26Z</dcterms:modified>
  <cp:revision>514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CF5EBB9665BA4C26B8A87D8A223098D5</vt:lpwstr>
  </property>
</Properties>
</file>