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none" w:color="auto" w:sz="0" w:space="0"/>
          <w:left w:val="none" w:color="auto" w:sz="0" w:space="0"/>
          <w:bottom w:val="none" w:color="auto" w:sz="0" w:space="0"/>
          <w:right w:val="none" w:color="auto" w:sz="0" w:space="0"/>
        </w:pBdr>
        <w:shd w:val="clear" w:color="050000" w:fill="FFFFFF"/>
        <w:ind w:left="0" w:firstLine="0"/>
        <w:jc w:val="center"/>
        <w:rPr>
          <w:rFonts w:hint="eastAsia" w:ascii="方正小标宋简体" w:hAnsi="方正小标宋简体" w:eastAsia="方正小标宋简体" w:cs="方正小标宋简体"/>
          <w:b w:val="0"/>
          <w:i w:val="0"/>
          <w:caps w:val="0"/>
          <w:color w:val="333333"/>
          <w:spacing w:val="0"/>
          <w:sz w:val="36"/>
          <w:szCs w:val="36"/>
        </w:rPr>
      </w:pPr>
      <w:bookmarkStart w:id="0" w:name="_GoBack"/>
      <w:r>
        <w:rPr>
          <w:rFonts w:hint="eastAsia" w:ascii="方正小标宋简体" w:hAnsi="方正小标宋简体" w:eastAsia="方正小标宋简体" w:cs="方正小标宋简体"/>
          <w:b w:val="0"/>
          <w:i w:val="0"/>
          <w:caps w:val="0"/>
          <w:color w:val="333333"/>
          <w:spacing w:val="0"/>
          <w:kern w:val="0"/>
          <w:sz w:val="36"/>
          <w:szCs w:val="36"/>
          <w:shd w:val="clear" w:color="090000" w:fill="FFFFFF"/>
          <w:lang w:val="en-US" w:eastAsia="zh-CN"/>
        </w:rPr>
        <w:t>关于《</w:t>
      </w:r>
      <w:r>
        <w:rPr>
          <w:rFonts w:hint="eastAsia" w:ascii="方正小标宋简体" w:hAnsi="方正小标宋简体" w:eastAsia="方正小标宋简体" w:cs="方正小标宋简体"/>
          <w:sz w:val="36"/>
          <w:szCs w:val="36"/>
          <w:lang w:eastAsia="zh-CN"/>
        </w:rPr>
        <w:t>规范全市民办高中审批工作</w:t>
      </w:r>
      <w:r>
        <w:rPr>
          <w:rFonts w:hint="eastAsia" w:ascii="方正小标宋简体" w:hAnsi="方正小标宋简体" w:eastAsia="方正小标宋简体" w:cs="方正小标宋简体"/>
          <w:b w:val="0"/>
          <w:i w:val="0"/>
          <w:caps w:val="0"/>
          <w:color w:val="333333"/>
          <w:spacing w:val="0"/>
          <w:kern w:val="0"/>
          <w:sz w:val="36"/>
          <w:szCs w:val="36"/>
          <w:shd w:val="clear" w:color="090000" w:fill="FFFFFF"/>
          <w:lang w:val="en-US" w:eastAsia="zh-CN"/>
        </w:rPr>
        <w:t>通知》政策解读</w:t>
      </w:r>
      <w:bookmarkEnd w:id="0"/>
    </w:p>
    <w:p>
      <w:pPr>
        <w:pStyle w:val="5"/>
        <w:widowControl/>
        <w:wordWrap/>
        <w:adjustRightInd/>
        <w:snapToGrid/>
        <w:spacing w:beforeAutospacing="0" w:afterAutospacing="0" w:line="560" w:lineRule="exact"/>
        <w:ind w:left="0" w:firstLine="420"/>
        <w:jc w:val="both"/>
        <w:textAlignment w:val="auto"/>
        <w:rPr>
          <w:rFonts w:hint="eastAsia" w:ascii="黑体" w:hAnsi="黑体" w:eastAsia="黑体" w:cs="黑体"/>
          <w:b/>
          <w:bCs/>
          <w:i w:val="0"/>
          <w:caps w:val="0"/>
          <w:color w:val="666666"/>
          <w:spacing w:val="0"/>
          <w:sz w:val="32"/>
          <w:szCs w:val="32"/>
          <w:shd w:val="clear" w:color="090000" w:fill="FFFFFF"/>
        </w:rPr>
      </w:pPr>
    </w:p>
    <w:p>
      <w:pPr>
        <w:pStyle w:val="5"/>
        <w:widowControl/>
        <w:wordWrap/>
        <w:adjustRightInd/>
        <w:snapToGrid/>
        <w:spacing w:beforeAutospacing="0" w:afterAutospacing="0" w:line="560" w:lineRule="exact"/>
        <w:ind w:left="0" w:firstLine="420"/>
        <w:jc w:val="both"/>
        <w:textAlignment w:val="auto"/>
        <w:rPr>
          <w:rFonts w:hint="eastAsia" w:ascii="黑体" w:hAnsi="黑体" w:eastAsia="黑体" w:cs="黑体"/>
          <w:b/>
          <w:bCs/>
          <w:sz w:val="32"/>
          <w:szCs w:val="32"/>
        </w:rPr>
      </w:pPr>
      <w:r>
        <w:rPr>
          <w:rFonts w:hint="eastAsia" w:ascii="黑体" w:hAnsi="黑体" w:eastAsia="黑体" w:cs="黑体"/>
          <w:b/>
          <w:bCs/>
          <w:i w:val="0"/>
          <w:caps w:val="0"/>
          <w:color w:val="666666"/>
          <w:spacing w:val="0"/>
          <w:sz w:val="32"/>
          <w:szCs w:val="32"/>
          <w:shd w:val="clear" w:color="090000" w:fill="FFFFFF"/>
        </w:rPr>
        <w:t>一、起草背景</w:t>
      </w:r>
    </w:p>
    <w:p>
      <w:pPr>
        <w:widowControl w:val="0"/>
        <w:wordWrap/>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i w:val="0"/>
          <w:caps w:val="0"/>
          <w:color w:val="666666"/>
          <w:spacing w:val="0"/>
          <w:sz w:val="32"/>
          <w:szCs w:val="32"/>
          <w:shd w:val="clear" w:color="080000" w:fill="FFFFFF"/>
          <w:lang w:val="en-US" w:eastAsia="zh-CN"/>
        </w:rPr>
        <w:t xml:space="preserve">  </w:t>
      </w:r>
      <w:r>
        <w:rPr>
          <w:rFonts w:hint="eastAsia" w:ascii="仿宋_GB2312" w:hAnsi="仿宋_GB2312" w:eastAsia="仿宋_GB2312" w:cs="仿宋_GB2312"/>
          <w:b w:val="0"/>
          <w:bCs w:val="0"/>
          <w:sz w:val="32"/>
          <w:szCs w:val="32"/>
          <w:lang w:eastAsia="zh-CN"/>
        </w:rPr>
        <w:t>为深入贯彻落实国家、省、市“三级”教育大会精神，践行郑州教育分级管理的要求，办好人民满意的美好教育，经第</w:t>
      </w:r>
      <w:r>
        <w:rPr>
          <w:rFonts w:hint="eastAsia" w:ascii="仿宋_GB2312" w:hAnsi="仿宋_GB2312" w:eastAsia="仿宋_GB2312" w:cs="仿宋_GB2312"/>
          <w:b w:val="0"/>
          <w:bCs w:val="0"/>
          <w:sz w:val="32"/>
          <w:szCs w:val="32"/>
          <w:lang w:val="en-US" w:eastAsia="zh-CN"/>
        </w:rPr>
        <w:t>24次党政联席会议</w:t>
      </w:r>
      <w:r>
        <w:rPr>
          <w:rFonts w:hint="eastAsia" w:ascii="仿宋_GB2312" w:hAnsi="仿宋_GB2312" w:eastAsia="仿宋_GB2312" w:cs="仿宋_GB2312"/>
          <w:b w:val="0"/>
          <w:bCs w:val="0"/>
          <w:sz w:val="32"/>
          <w:szCs w:val="32"/>
          <w:lang w:eastAsia="zh-CN"/>
        </w:rPr>
        <w:t>研究，制定了《关于规范全市民办高中审批工作</w:t>
      </w:r>
      <w:r>
        <w:rPr>
          <w:rFonts w:hint="eastAsia" w:ascii="仿宋_GB2312" w:hAnsi="仿宋_GB2312" w:eastAsia="仿宋_GB2312" w:cs="仿宋_GB2312"/>
          <w:b w:val="0"/>
          <w:bCs w:val="0"/>
          <w:sz w:val="32"/>
          <w:szCs w:val="32"/>
          <w:lang w:val="en-US" w:eastAsia="zh-CN"/>
        </w:rPr>
        <w:t>的通知</w:t>
      </w:r>
      <w:r>
        <w:rPr>
          <w:rFonts w:hint="eastAsia" w:ascii="仿宋_GB2312" w:hAnsi="仿宋_GB2312" w:eastAsia="仿宋_GB2312" w:cs="仿宋_GB2312"/>
          <w:b w:val="0"/>
          <w:bCs w:val="0"/>
          <w:sz w:val="32"/>
          <w:szCs w:val="32"/>
          <w:lang w:eastAsia="zh-CN"/>
        </w:rPr>
        <w:t>》。</w:t>
      </w:r>
    </w:p>
    <w:p>
      <w:pPr>
        <w:pStyle w:val="5"/>
        <w:widowControl/>
        <w:wordWrap/>
        <w:adjustRightInd/>
        <w:snapToGrid/>
        <w:spacing w:beforeAutospacing="0" w:afterAutospacing="0" w:line="560" w:lineRule="exact"/>
        <w:ind w:left="0" w:firstLine="420"/>
        <w:jc w:val="both"/>
        <w:textAlignment w:val="auto"/>
        <w:rPr>
          <w:rFonts w:hint="eastAsia" w:ascii="黑体" w:hAnsi="黑体" w:eastAsia="黑体" w:cs="黑体"/>
          <w:b/>
          <w:bCs/>
          <w:i w:val="0"/>
          <w:caps w:val="0"/>
          <w:color w:val="666666"/>
          <w:spacing w:val="0"/>
          <w:sz w:val="32"/>
          <w:szCs w:val="32"/>
          <w:shd w:val="clear" w:color="090000" w:fill="FFFFFF"/>
        </w:rPr>
      </w:pPr>
    </w:p>
    <w:p>
      <w:pPr>
        <w:pStyle w:val="5"/>
        <w:widowControl/>
        <w:wordWrap/>
        <w:adjustRightInd/>
        <w:snapToGrid/>
        <w:spacing w:beforeAutospacing="0" w:afterAutospacing="0" w:line="560" w:lineRule="exact"/>
        <w:ind w:left="0" w:firstLine="420"/>
        <w:jc w:val="both"/>
        <w:textAlignment w:val="auto"/>
        <w:rPr>
          <w:rFonts w:hint="eastAsia" w:ascii="黑体" w:hAnsi="黑体" w:eastAsia="黑体" w:cs="黑体"/>
          <w:b/>
          <w:bCs/>
          <w:i w:val="0"/>
          <w:caps w:val="0"/>
          <w:color w:val="666666"/>
          <w:spacing w:val="0"/>
          <w:sz w:val="32"/>
          <w:szCs w:val="32"/>
          <w:shd w:val="clear" w:color="090000" w:fill="FFFFFF"/>
        </w:rPr>
      </w:pPr>
      <w:r>
        <w:rPr>
          <w:rFonts w:hint="eastAsia" w:ascii="黑体" w:hAnsi="黑体" w:eastAsia="黑体" w:cs="黑体"/>
          <w:b/>
          <w:bCs/>
          <w:i w:val="0"/>
          <w:caps w:val="0"/>
          <w:color w:val="666666"/>
          <w:spacing w:val="0"/>
          <w:sz w:val="32"/>
          <w:szCs w:val="32"/>
          <w:shd w:val="clear" w:color="090000" w:fill="FFFFFF"/>
        </w:rPr>
        <w:t>二、政策依据</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1.《国务院关于鼓励社会力量兴办教育  促进民办教育健康发展的若干意见》（国发〔2016〕81号）；</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2.《河南省人民政府办公厅关于郑州航空港经济综合实验区与省直部门建立直通车制度的实施意见》（豫政办〔2013〕92号）；</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3.《河南省人民政府关于鼓励社会力量兴办教育  进一步促进民办教育健康发展的实施意见》（豫政〔2018〕6号）；</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4.《郑州市人民政府关于进一步规范行政审批行为  提升审批服务效能的通知》（郑政文〔2018〕46号）；</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5.《中华人民共和国民办教育促进法》《中华人民共和国民办教育促进法实施条例》。</w:t>
      </w:r>
    </w:p>
    <w:p>
      <w:pPr>
        <w:pStyle w:val="5"/>
        <w:widowControl/>
        <w:wordWrap/>
        <w:adjustRightInd/>
        <w:snapToGrid/>
        <w:spacing w:beforeAutospacing="0" w:afterAutospacing="0" w:line="560" w:lineRule="exact"/>
        <w:ind w:left="0" w:firstLine="420"/>
        <w:jc w:val="both"/>
        <w:textAlignment w:val="auto"/>
        <w:rPr>
          <w:rFonts w:hint="eastAsia" w:ascii="黑体" w:hAnsi="黑体" w:eastAsia="黑体" w:cs="黑体"/>
          <w:b/>
          <w:bCs/>
          <w:i w:val="0"/>
          <w:caps w:val="0"/>
          <w:color w:val="666666"/>
          <w:spacing w:val="0"/>
          <w:sz w:val="32"/>
          <w:szCs w:val="32"/>
          <w:shd w:val="clear" w:color="090000" w:fill="FFFFFF"/>
        </w:rPr>
      </w:pPr>
    </w:p>
    <w:p>
      <w:pPr>
        <w:pStyle w:val="5"/>
        <w:widowControl/>
        <w:wordWrap/>
        <w:adjustRightInd/>
        <w:snapToGrid/>
        <w:spacing w:beforeAutospacing="0" w:afterAutospacing="0" w:line="560" w:lineRule="exact"/>
        <w:ind w:left="0" w:firstLine="420"/>
        <w:jc w:val="both"/>
        <w:textAlignment w:val="auto"/>
        <w:rPr>
          <w:rFonts w:hint="eastAsia" w:ascii="黑体" w:hAnsi="黑体" w:eastAsia="黑体" w:cs="黑体"/>
          <w:b/>
          <w:bCs/>
          <w:i w:val="0"/>
          <w:caps w:val="0"/>
          <w:color w:val="666666"/>
          <w:spacing w:val="0"/>
          <w:sz w:val="32"/>
          <w:szCs w:val="32"/>
          <w:shd w:val="clear" w:color="090000" w:fill="FFFFFF"/>
        </w:rPr>
      </w:pPr>
      <w:r>
        <w:rPr>
          <w:rFonts w:hint="eastAsia" w:ascii="黑体" w:hAnsi="黑体" w:eastAsia="黑体" w:cs="黑体"/>
          <w:b/>
          <w:bCs/>
          <w:i w:val="0"/>
          <w:caps w:val="0"/>
          <w:color w:val="666666"/>
          <w:spacing w:val="0"/>
          <w:sz w:val="32"/>
          <w:szCs w:val="32"/>
          <w:shd w:val="clear" w:color="090000" w:fill="FFFFFF"/>
        </w:rPr>
        <w:t>三、起草环节</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政策学习：深入学习</w:t>
      </w:r>
      <w:r>
        <w:rPr>
          <w:rFonts w:hint="eastAsia" w:ascii="仿宋_GB2312" w:hAnsi="仿宋_GB2312" w:eastAsia="仿宋_GB2312" w:cs="仿宋_GB2312"/>
          <w:b w:val="0"/>
          <w:bCs w:val="0"/>
          <w:sz w:val="32"/>
          <w:szCs w:val="32"/>
          <w:lang w:eastAsia="zh-CN"/>
        </w:rPr>
        <w:t>有关民办教育方面的法律法规和政策规定，</w:t>
      </w:r>
      <w:r>
        <w:rPr>
          <w:rFonts w:hint="eastAsia" w:ascii="仿宋_GB2312" w:hAnsi="仿宋_GB2312" w:eastAsia="仿宋_GB2312" w:cs="仿宋_GB2312"/>
          <w:b w:val="0"/>
          <w:i w:val="0"/>
          <w:caps w:val="0"/>
          <w:color w:val="000000"/>
          <w:spacing w:val="0"/>
          <w:sz w:val="32"/>
          <w:szCs w:val="32"/>
          <w:shd w:val="clear" w:color="auto" w:fill="auto"/>
          <w:lang w:val="en-US" w:eastAsia="zh-CN"/>
        </w:rPr>
        <w:t>积极对接省市放管服部门，学习掌握新时代放管服工作的最新动态和审批标准。</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学习借鉴：认真分析全市民办高中学位占比，借鉴周边省会城市在放管服方面的好经验、好做法，尤其是在促进民办教育发展方面的好政策，精准研判郑州市民办高中发展实际，适时修订民办高中的设置标准，</w:t>
      </w:r>
      <w:r>
        <w:rPr>
          <w:rFonts w:hint="eastAsia" w:ascii="仿宋_GB2312" w:hAnsi="仿宋_GB2312" w:eastAsia="仿宋_GB2312" w:cs="仿宋_GB2312"/>
          <w:b w:val="0"/>
          <w:bCs w:val="0"/>
          <w:sz w:val="32"/>
          <w:szCs w:val="32"/>
          <w:lang w:val="en-US" w:eastAsia="zh-CN"/>
        </w:rPr>
        <w:t>推动全市民办教育与公办教育协调发展</w:t>
      </w:r>
      <w:r>
        <w:rPr>
          <w:rFonts w:hint="eastAsia" w:ascii="仿宋_GB2312" w:hAnsi="仿宋_GB2312" w:eastAsia="仿宋_GB2312" w:cs="仿宋_GB2312"/>
          <w:b w:val="0"/>
          <w:i w:val="0"/>
          <w:caps w:val="0"/>
          <w:color w:val="000000"/>
          <w:spacing w:val="0"/>
          <w:sz w:val="32"/>
          <w:szCs w:val="32"/>
          <w:shd w:val="clear" w:color="auto" w:fill="auto"/>
          <w:lang w:val="en-US" w:eastAsia="zh-CN"/>
        </w:rPr>
        <w:t>。</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广泛调研：召开县（市、区）民办科（行政审批科）科长会议和部分民办高中校长代表会议，了解新形势下“四级十同”的客观需要及工作中存在的困难；到县（市）实地调研，精准研判放管服工作的时代要求及辖区民办高中发展亟待突破的政策瓶颈。</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论证通过：与局领导及相关处室负责人多次研讨，广泛听取意见建议，</w:t>
      </w:r>
      <w:r>
        <w:rPr>
          <w:rFonts w:hint="eastAsia" w:ascii="仿宋_GB2312" w:hAnsi="仿宋_GB2312" w:eastAsia="仿宋_GB2312" w:cs="仿宋_GB2312"/>
          <w:b w:val="0"/>
          <w:bCs w:val="0"/>
          <w:sz w:val="32"/>
          <w:szCs w:val="32"/>
          <w:lang w:eastAsia="zh-CN"/>
        </w:rPr>
        <w:t>经第</w:t>
      </w:r>
      <w:r>
        <w:rPr>
          <w:rFonts w:hint="eastAsia" w:ascii="仿宋_GB2312" w:hAnsi="仿宋_GB2312" w:eastAsia="仿宋_GB2312" w:cs="仿宋_GB2312"/>
          <w:b w:val="0"/>
          <w:bCs w:val="0"/>
          <w:sz w:val="32"/>
          <w:szCs w:val="32"/>
          <w:lang w:val="en-US" w:eastAsia="zh-CN"/>
        </w:rPr>
        <w:t>24次党政联席会议</w:t>
      </w:r>
      <w:r>
        <w:rPr>
          <w:rFonts w:hint="eastAsia" w:ascii="仿宋_GB2312" w:hAnsi="仿宋_GB2312" w:eastAsia="仿宋_GB2312" w:cs="仿宋_GB2312"/>
          <w:b w:val="0"/>
          <w:bCs w:val="0"/>
          <w:sz w:val="32"/>
          <w:szCs w:val="32"/>
          <w:lang w:eastAsia="zh-CN"/>
        </w:rPr>
        <w:t>研究同意，通过</w:t>
      </w:r>
      <w:r>
        <w:rPr>
          <w:rFonts w:hint="eastAsia" w:ascii="仿宋_GB2312" w:hAnsi="仿宋_GB2312" w:eastAsia="仿宋_GB2312" w:cs="仿宋_GB2312"/>
          <w:b w:val="0"/>
          <w:i w:val="0"/>
          <w:caps w:val="0"/>
          <w:color w:val="000000"/>
          <w:spacing w:val="0"/>
          <w:sz w:val="32"/>
          <w:szCs w:val="32"/>
          <w:shd w:val="clear" w:color="auto" w:fill="auto"/>
          <w:lang w:val="en-US" w:eastAsia="zh-CN"/>
        </w:rPr>
        <w:t>法制审核后最终确定印发。</w:t>
      </w:r>
    </w:p>
    <w:p>
      <w:pPr>
        <w:pStyle w:val="5"/>
        <w:widowControl/>
        <w:wordWrap/>
        <w:adjustRightInd/>
        <w:snapToGrid/>
        <w:spacing w:beforeAutospacing="0" w:afterAutospacing="0" w:line="560" w:lineRule="exact"/>
        <w:ind w:left="0" w:firstLine="420"/>
        <w:jc w:val="both"/>
        <w:textAlignment w:val="auto"/>
        <w:rPr>
          <w:rFonts w:hint="eastAsia" w:ascii="黑体" w:hAnsi="黑体" w:eastAsia="黑体" w:cs="黑体"/>
          <w:b/>
          <w:bCs/>
          <w:i w:val="0"/>
          <w:caps w:val="0"/>
          <w:color w:val="666666"/>
          <w:spacing w:val="0"/>
          <w:sz w:val="32"/>
          <w:szCs w:val="32"/>
          <w:shd w:val="clear" w:color="090000" w:fill="FFFFFF"/>
        </w:rPr>
      </w:pPr>
    </w:p>
    <w:p>
      <w:pPr>
        <w:pStyle w:val="5"/>
        <w:widowControl/>
        <w:wordWrap/>
        <w:adjustRightInd/>
        <w:snapToGrid/>
        <w:spacing w:beforeAutospacing="0" w:afterAutospacing="0" w:line="560" w:lineRule="exact"/>
        <w:ind w:left="0" w:firstLine="420"/>
        <w:jc w:val="both"/>
        <w:textAlignment w:val="auto"/>
        <w:rPr>
          <w:rFonts w:hint="eastAsia" w:ascii="黑体" w:hAnsi="黑体" w:eastAsia="黑体" w:cs="黑体"/>
          <w:b/>
          <w:bCs/>
          <w:i w:val="0"/>
          <w:caps w:val="0"/>
          <w:color w:val="666666"/>
          <w:spacing w:val="0"/>
          <w:sz w:val="32"/>
          <w:szCs w:val="32"/>
          <w:shd w:val="clear" w:color="090000" w:fill="FFFFFF"/>
        </w:rPr>
      </w:pPr>
      <w:r>
        <w:rPr>
          <w:rFonts w:hint="eastAsia" w:ascii="黑体" w:hAnsi="黑体" w:eastAsia="黑体" w:cs="黑体"/>
          <w:b/>
          <w:bCs/>
          <w:i w:val="0"/>
          <w:caps w:val="0"/>
          <w:color w:val="666666"/>
          <w:spacing w:val="0"/>
          <w:sz w:val="32"/>
          <w:szCs w:val="32"/>
          <w:shd w:val="clear" w:color="090000" w:fill="FFFFFF"/>
        </w:rPr>
        <w:t>四、主要内容</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1.进一步厘清审批管理权限，有力推动全市民办教育与公办教育协调发展。</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民办中等专业学校由郑州市教育局审批；</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办学地点在6个县（市）及上街区、航空港区的，新设民办高中由所在地教育行政部门审批管理并向郑州市教育局备案；</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办学地点在市内其他8区（开发区）的，新设民办高中由市教育局统一审批；</w:t>
      </w:r>
    </w:p>
    <w:p>
      <w:pPr>
        <w:widowControl w:val="0"/>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以往已经审批过的民办学校，本着“逐步过渡，属地管理”的原则，稳妥进行隶属关系调整，稳步理顺隶属关系。</w:t>
      </w:r>
    </w:p>
    <w:p>
      <w:pPr>
        <w:wordWrap/>
        <w:adjustRightInd/>
        <w:snapToGrid/>
        <w:spacing w:beforeAutospacing="0" w:afterAutospacing="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学校办学规模不少于6轨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18个教学班，班额为50人。</w:t>
      </w:r>
    </w:p>
    <w:p>
      <w:pPr>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3.申请设立民办高中须征地建校，租赁场地不再审批。</w:t>
      </w:r>
    </w:p>
    <w:p>
      <w:pPr>
        <w:wordWrap/>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校园占地面积（不含教职工宿舍和相对独立的附属机构）：建设规划总用地不少于</w:t>
      </w:r>
      <w:r>
        <w:rPr>
          <w:rFonts w:hint="eastAsia" w:ascii="仿宋_GB2312" w:hAnsi="仿宋_GB2312" w:eastAsia="仿宋_GB2312" w:cs="仿宋_GB2312"/>
          <w:sz w:val="32"/>
          <w:szCs w:val="32"/>
          <w:lang w:val="en-US" w:eastAsia="zh-CN"/>
        </w:rPr>
        <w:t>90亩；</w:t>
      </w:r>
      <w:r>
        <w:rPr>
          <w:rFonts w:hint="eastAsia" w:ascii="仿宋_GB2312" w:hAnsi="仿宋_GB2312" w:eastAsia="仿宋_GB2312" w:cs="仿宋_GB2312"/>
          <w:sz w:val="32"/>
          <w:szCs w:val="32"/>
        </w:rPr>
        <w:t>生均用地面积不少于38平方米。</w:t>
      </w:r>
    </w:p>
    <w:p>
      <w:pPr>
        <w:wordWrap/>
        <w:adjustRightInd/>
        <w:snapToGrid/>
        <w:spacing w:beforeAutospacing="0" w:afterAutospacing="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学校应当设置</w:t>
      </w:r>
      <w:r>
        <w:rPr>
          <w:rFonts w:hint="eastAsia" w:ascii="仿宋_GB2312" w:hAnsi="仿宋_GB2312" w:eastAsia="仿宋_GB2312" w:cs="仿宋_GB2312"/>
          <w:sz w:val="32"/>
          <w:szCs w:val="32"/>
          <w:lang w:eastAsia="zh-CN"/>
        </w:rPr>
        <w:t>塑胶</w:t>
      </w:r>
      <w:r>
        <w:rPr>
          <w:rFonts w:hint="eastAsia" w:ascii="仿宋_GB2312" w:hAnsi="仿宋_GB2312" w:eastAsia="仿宋_GB2312" w:cs="仿宋_GB2312"/>
          <w:sz w:val="32"/>
          <w:szCs w:val="32"/>
          <w:lang w:val="en-US" w:eastAsia="zh-CN"/>
        </w:rPr>
        <w:t>400米环形跑道、</w:t>
      </w:r>
      <w:r>
        <w:rPr>
          <w:rFonts w:hint="eastAsia" w:ascii="仿宋_GB2312" w:hAnsi="仿宋_GB2312" w:eastAsia="仿宋_GB2312" w:cs="仿宋_GB2312"/>
          <w:sz w:val="32"/>
          <w:szCs w:val="32"/>
        </w:rPr>
        <w:t>田径场、篮球场等运动场所，配备满足教学和体育活动需要的体育器材。</w:t>
      </w:r>
    </w:p>
    <w:p>
      <w:pPr>
        <w:wordWrap/>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6.学校要加强教育现代化建设，增加教育教学现代化的经费投入，须有一定数量的录播教室、多功能教室等现代化教育教学设施。</w:t>
      </w:r>
    </w:p>
    <w:p>
      <w:pPr>
        <w:wordWrap/>
        <w:adjustRightInd/>
        <w:snapToGrid/>
        <w:spacing w:beforeAutospacing="0" w:afterAutospacing="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2">
    <w:name w:val="heading 2"/>
    <w:basedOn w:val="1"/>
    <w:next w:val="1"/>
    <w:unhideWhenUsed/>
    <w:qFormat/>
    <w:uiPriority w:val="0"/>
    <w:pPr>
      <w:keepNext/>
      <w:keepLines/>
      <w:spacing w:beforeLines="50" w:beforeAutospacing="0" w:after="10" w:afterAutospacing="0" w:line="240" w:lineRule="auto"/>
      <w:ind w:firstLine="544" w:firstLineChars="200"/>
      <w:outlineLvl w:val="1"/>
    </w:pPr>
    <w:rPr>
      <w:rFonts w:ascii="Arial" w:hAnsi="Arial" w:eastAsia="楷体_GB2312"/>
      <w:sz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rPr>
  </w:style>
  <w:style w:type="character" w:default="1" w:styleId="6">
    <w:name w:val="Default Paragraph Font"/>
    <w:semiHidden/>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2019-11-08T08:43:00Z</dcterms:created>
  <dc:creator>zzedu</dc:creator>
  <cp:lastModifiedBy>Administrator</cp:lastModifiedBy>
  <dcterms:modified xsi:type="dcterms:W3CDTF">2020-05-21T02:31:07Z</dcterms:modified>
  <dc:title>关于《规范全市民办高中审批工作通知》政策解读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