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郑州教育现代化2035</w:t>
      </w:r>
    </w:p>
    <w:p>
      <w:pPr>
        <w:jc w:val="center"/>
        <w:rPr>
          <w:rFonts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征求意见</w:t>
      </w:r>
      <w:bookmarkStart w:id="80" w:name="_GoBack"/>
      <w:bookmarkEnd w:id="80"/>
      <w:r>
        <w:rPr>
          <w:rFonts w:hint="eastAsia" w:ascii="楷体" w:hAnsi="楷体" w:eastAsia="楷体" w:cs="楷体"/>
          <w:color w:val="000000"/>
          <w:sz w:val="32"/>
          <w:szCs w:val="32"/>
        </w:rPr>
        <w:t>稿）</w:t>
      </w:r>
    </w:p>
    <w:p>
      <w:pPr>
        <w:jc w:val="center"/>
        <w:rPr>
          <w:rFonts w:cs="Times New Roman"/>
        </w:rPr>
      </w:pPr>
    </w:p>
    <w:p>
      <w:pPr>
        <w:jc w:val="center"/>
        <w:rPr>
          <w:rFonts w:cs="Times New Roman"/>
        </w:rPr>
      </w:pPr>
    </w:p>
    <w:p>
      <w:pPr>
        <w:jc w:val="center"/>
        <w:rPr>
          <w:rFonts w:ascii="楷体_GB2312" w:eastAsia="楷体_GB2312" w:cs="Times New Roman"/>
          <w:sz w:val="52"/>
          <w:szCs w:val="52"/>
        </w:rPr>
      </w:pPr>
    </w:p>
    <w:p>
      <w:pPr>
        <w:jc w:val="center"/>
        <w:rPr>
          <w:rFonts w:ascii="楷体_GB2312" w:hAnsi="楷体" w:eastAsia="楷体_GB2312" w:cs="Times New Roman"/>
          <w:b/>
          <w:sz w:val="48"/>
          <w:szCs w:val="48"/>
        </w:rPr>
      </w:pPr>
    </w:p>
    <w:p>
      <w:pPr>
        <w:jc w:val="center"/>
        <w:rPr>
          <w:rFonts w:cs="Times New Roman"/>
        </w:rPr>
      </w:pPr>
    </w:p>
    <w:p>
      <w:pPr>
        <w:jc w:val="center"/>
        <w:rPr>
          <w:rFonts w:cs="Times New Roman"/>
        </w:rPr>
      </w:pPr>
    </w:p>
    <w:p>
      <w:pPr>
        <w:spacing w:line="500" w:lineRule="exact"/>
        <w:jc w:val="center"/>
        <w:rPr>
          <w:rFonts w:ascii="楷体_GB2312" w:eastAsia="楷体_GB2312" w:cs="Times New Roman"/>
          <w:sz w:val="32"/>
          <w:szCs w:val="28"/>
        </w:rPr>
      </w:pPr>
    </w:p>
    <w:p>
      <w:pPr>
        <w:jc w:val="center"/>
        <w:rPr>
          <w:rFonts w:ascii="楷体_GB2312" w:eastAsia="楷体_GB2312" w:cs="Times New Roman"/>
          <w:sz w:val="32"/>
          <w:szCs w:val="32"/>
        </w:rPr>
      </w:pPr>
    </w:p>
    <w:p>
      <w:pPr>
        <w:pStyle w:val="3"/>
      </w:pPr>
    </w:p>
    <w:p/>
    <w:p>
      <w:pPr>
        <w:rPr>
          <w:rFonts w:ascii="Calibri Light" w:hAnsi="Calibri Light" w:cs="Times New Roman"/>
          <w:b/>
          <w:bCs/>
          <w:sz w:val="32"/>
          <w:szCs w:val="32"/>
        </w:rPr>
      </w:pPr>
    </w:p>
    <w:p>
      <w:pPr>
        <w:pStyle w:val="3"/>
      </w:pPr>
    </w:p>
    <w:p>
      <w:pPr>
        <w:jc w:val="center"/>
        <w:rPr>
          <w:rFonts w:ascii="楷体" w:hAnsi="楷体" w:eastAsia="楷体" w:cs="楷体"/>
          <w:sz w:val="40"/>
          <w:szCs w:val="44"/>
        </w:rPr>
      </w:pPr>
      <w:r>
        <w:rPr>
          <w:rFonts w:hint="eastAsia" w:ascii="楷体" w:hAnsi="楷体" w:eastAsia="楷体" w:cs="楷体"/>
          <w:sz w:val="40"/>
          <w:szCs w:val="44"/>
        </w:rPr>
        <w:t>郑州市教育局</w:t>
      </w:r>
    </w:p>
    <w:p>
      <w:pPr>
        <w:jc w:val="center"/>
        <w:rPr>
          <w:rFonts w:ascii="黑体" w:hAnsi="黑体" w:eastAsia="黑体"/>
          <w:kern w:val="0"/>
          <w:sz w:val="32"/>
          <w:szCs w:val="32"/>
        </w:rPr>
      </w:pPr>
      <w:r>
        <w:rPr>
          <w:rFonts w:hint="eastAsia" w:ascii="楷体_GB2312" w:eastAsia="楷体_GB2312" w:cs="Times New Roman"/>
          <w:sz w:val="32"/>
          <w:szCs w:val="32"/>
        </w:rPr>
        <w:t>20</w:t>
      </w:r>
      <w:r>
        <w:rPr>
          <w:rFonts w:ascii="楷体_GB2312" w:eastAsia="楷体_GB2312" w:cs="Times New Roman"/>
          <w:sz w:val="32"/>
          <w:szCs w:val="32"/>
        </w:rPr>
        <w:t>20</w:t>
      </w:r>
      <w:r>
        <w:rPr>
          <w:rFonts w:hint="eastAsia" w:ascii="楷体_GB2312" w:eastAsia="楷体_GB2312" w:cs="Times New Roman"/>
          <w:sz w:val="32"/>
          <w:szCs w:val="32"/>
        </w:rPr>
        <w:t>年</w:t>
      </w:r>
      <w:r>
        <w:rPr>
          <w:rFonts w:ascii="楷体_GB2312" w:eastAsia="楷体_GB2312" w:cs="Times New Roman"/>
          <w:sz w:val="32"/>
          <w:szCs w:val="32"/>
        </w:rPr>
        <w:t>12</w:t>
      </w:r>
      <w:r>
        <w:rPr>
          <w:rFonts w:hint="eastAsia" w:ascii="楷体_GB2312" w:eastAsia="楷体_GB2312" w:cs="Times New Roman"/>
          <w:sz w:val="32"/>
          <w:szCs w:val="32"/>
        </w:rPr>
        <w:t>月</w:t>
      </w:r>
      <w:r>
        <w:rPr>
          <w:rFonts w:ascii="楷体_GB2312" w:eastAsia="楷体_GB2312" w:cs="Times New Roman"/>
          <w:sz w:val="32"/>
          <w:szCs w:val="32"/>
        </w:rPr>
        <w:br w:type="page"/>
      </w:r>
      <w:r>
        <w:rPr>
          <w:rFonts w:ascii="黑体" w:hAnsi="黑体" w:eastAsia="黑体"/>
          <w:kern w:val="0"/>
          <w:sz w:val="32"/>
          <w:szCs w:val="32"/>
          <w:lang w:val="zh-CN"/>
        </w:rPr>
        <w:t>目</w:t>
      </w:r>
      <w:r>
        <w:rPr>
          <w:rFonts w:hint="eastAsia" w:ascii="黑体" w:hAnsi="黑体" w:eastAsia="黑体"/>
          <w:kern w:val="0"/>
          <w:sz w:val="32"/>
          <w:szCs w:val="32"/>
          <w:lang w:val="zh-CN"/>
        </w:rPr>
        <w:t xml:space="preserve">   </w:t>
      </w:r>
      <w:r>
        <w:rPr>
          <w:rFonts w:ascii="黑体" w:hAnsi="黑体" w:eastAsia="黑体"/>
          <w:kern w:val="0"/>
          <w:sz w:val="32"/>
          <w:szCs w:val="32"/>
          <w:lang w:val="zh-CN"/>
        </w:rPr>
        <w:t>录</w:t>
      </w:r>
    </w:p>
    <w:p>
      <w:pPr>
        <w:pStyle w:val="12"/>
        <w:tabs>
          <w:tab w:val="right" w:leader="dot" w:pos="7936"/>
        </w:tabs>
        <w:rPr>
          <w:rFonts w:ascii="Calibri" w:hAnsi="Calibri" w:eastAsia="宋体"/>
          <w:szCs w:val="22"/>
        </w:rPr>
      </w:pPr>
      <w:r>
        <w:rPr>
          <w:bCs/>
          <w:lang w:val="zh-CN"/>
        </w:rPr>
        <w:fldChar w:fldCharType="begin"/>
      </w:r>
      <w:r>
        <w:rPr>
          <w:bCs/>
          <w:lang w:val="zh-CN"/>
        </w:rPr>
        <w:instrText xml:space="preserve"> TOC \o "1-3" \h \z \u </w:instrText>
      </w:r>
      <w:r>
        <w:rPr>
          <w:bCs/>
          <w:lang w:val="zh-CN"/>
        </w:rPr>
        <w:fldChar w:fldCharType="separate"/>
      </w:r>
      <w:r>
        <w:fldChar w:fldCharType="begin"/>
      </w:r>
      <w:r>
        <w:instrText xml:space="preserve">HYPERLINK  \l "_Toc5348" </w:instrText>
      </w:r>
      <w:r>
        <w:fldChar w:fldCharType="separate"/>
      </w:r>
      <w:r>
        <w:rPr>
          <w:rFonts w:hint="eastAsia" w:ascii="黑体" w:hAnsi="黑体" w:eastAsia="黑体" w:cs="Times New Roman"/>
          <w:bCs/>
          <w:kern w:val="0"/>
          <w:szCs w:val="32"/>
        </w:rPr>
        <w:t>一、战略背景</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_Toc5348 </w:instrText>
      </w:r>
      <w:r>
        <w:rPr>
          <w:rFonts w:ascii="Calibri" w:hAnsi="Calibri" w:eastAsia="宋体"/>
          <w:szCs w:val="22"/>
        </w:rPr>
        <w:fldChar w:fldCharType="separate"/>
      </w:r>
      <w:r>
        <w:rPr>
          <w:rFonts w:ascii="Calibri" w:hAnsi="Calibri" w:eastAsia="宋体"/>
          <w:szCs w:val="22"/>
        </w:rPr>
        <w:t>1</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"_Toc30948" </w:instrText>
      </w:r>
      <w:r>
        <w:fldChar w:fldCharType="separate"/>
      </w:r>
      <w:r>
        <w:rPr>
          <w:rFonts w:hint="eastAsia" w:ascii="楷体_GB2312" w:hAnsi="Calibri Light" w:eastAsia="楷体_GB2312" w:cs="Times New Roman"/>
          <w:bCs/>
          <w:kern w:val="0"/>
          <w:szCs w:val="32"/>
        </w:rPr>
        <w:t>（一）国家战略任务赋予郑州教育现代化发展新使命</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_Toc30948 </w:instrText>
      </w:r>
      <w:r>
        <w:rPr>
          <w:rFonts w:ascii="Calibri" w:hAnsi="Calibri" w:eastAsia="宋体"/>
          <w:szCs w:val="22"/>
        </w:rPr>
        <w:fldChar w:fldCharType="separate"/>
      </w:r>
      <w:r>
        <w:rPr>
          <w:rFonts w:ascii="Calibri" w:hAnsi="Calibri" w:eastAsia="宋体"/>
          <w:szCs w:val="22"/>
        </w:rPr>
        <w:t>3</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"_Toc27120" </w:instrText>
      </w:r>
      <w:r>
        <w:fldChar w:fldCharType="separate"/>
      </w:r>
      <w:r>
        <w:rPr>
          <w:rFonts w:hint="eastAsia" w:ascii="楷体_GB2312" w:hAnsi="Calibri Light" w:eastAsia="楷体_GB2312" w:cs="Times New Roman"/>
          <w:bCs/>
          <w:kern w:val="0"/>
          <w:szCs w:val="32"/>
        </w:rPr>
        <w:t>（二）全球</w:t>
      </w:r>
      <w:r>
        <w:rPr>
          <w:rFonts w:ascii="楷体_GB2312" w:hAnsi="Calibri Light" w:eastAsia="楷体_GB2312" w:cs="Times New Roman"/>
          <w:bCs/>
          <w:kern w:val="0"/>
          <w:szCs w:val="32"/>
        </w:rPr>
        <w:t>新一轮科技革命为郑州教育现代化发展提供新机遇</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_Toc27120 </w:instrText>
      </w:r>
      <w:r>
        <w:rPr>
          <w:rFonts w:ascii="Calibri" w:hAnsi="Calibri" w:eastAsia="宋体"/>
          <w:szCs w:val="22"/>
        </w:rPr>
        <w:fldChar w:fldCharType="separate"/>
      </w:r>
      <w:r>
        <w:rPr>
          <w:rFonts w:ascii="Calibri" w:hAnsi="Calibri" w:eastAsia="宋体"/>
          <w:szCs w:val="22"/>
        </w:rPr>
        <w:t>3</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"_Toc14548" </w:instrText>
      </w:r>
      <w:r>
        <w:fldChar w:fldCharType="separate"/>
      </w:r>
      <w:r>
        <w:rPr>
          <w:rFonts w:hint="eastAsia" w:ascii="楷体_GB2312" w:hAnsi="Calibri Light" w:eastAsia="楷体_GB2312" w:cs="Times New Roman"/>
          <w:bCs/>
          <w:kern w:val="0"/>
          <w:szCs w:val="32"/>
        </w:rPr>
        <w:t>（三）城市社会发展新变化和人民群众美好生活向往对郑州教育现代化发展提出新要求</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_Toc14548 </w:instrText>
      </w:r>
      <w:r>
        <w:rPr>
          <w:rFonts w:ascii="Calibri" w:hAnsi="Calibri" w:eastAsia="宋体"/>
          <w:szCs w:val="22"/>
        </w:rPr>
        <w:fldChar w:fldCharType="separate"/>
      </w:r>
      <w:r>
        <w:rPr>
          <w:rFonts w:ascii="Calibri" w:hAnsi="Calibri" w:eastAsia="宋体"/>
          <w:szCs w:val="22"/>
        </w:rPr>
        <w:t>4</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"_Toc14970" </w:instrText>
      </w:r>
      <w:r>
        <w:fldChar w:fldCharType="separate"/>
      </w:r>
      <w:r>
        <w:rPr>
          <w:rFonts w:hint="eastAsia" w:ascii="黑体" w:hAnsi="黑体" w:eastAsia="黑体" w:cs="Times New Roman"/>
          <w:bCs/>
          <w:kern w:val="0"/>
          <w:szCs w:val="32"/>
        </w:rPr>
        <w:t>二、总体思路</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_Toc14970 </w:instrText>
      </w:r>
      <w:r>
        <w:rPr>
          <w:rFonts w:ascii="Calibri" w:hAnsi="Calibri" w:eastAsia="宋体"/>
          <w:szCs w:val="22"/>
        </w:rPr>
        <w:fldChar w:fldCharType="separate"/>
      </w:r>
      <w:r>
        <w:rPr>
          <w:rFonts w:ascii="Calibri" w:hAnsi="Calibri" w:eastAsia="宋体"/>
          <w:szCs w:val="22"/>
        </w:rPr>
        <w:t>5</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"_Toc11589" </w:instrText>
      </w:r>
      <w:r>
        <w:fldChar w:fldCharType="separate"/>
      </w:r>
      <w:r>
        <w:rPr>
          <w:rFonts w:hint="eastAsia" w:ascii="楷体_GB2312" w:hAnsi="Calibri Light" w:eastAsia="楷体_GB2312" w:cs="Times New Roman"/>
          <w:bCs/>
          <w:kern w:val="0"/>
          <w:szCs w:val="32"/>
        </w:rPr>
        <w:t>（一）指导思想</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_Toc11589 </w:instrText>
      </w:r>
      <w:r>
        <w:rPr>
          <w:rFonts w:ascii="Calibri" w:hAnsi="Calibri" w:eastAsia="宋体"/>
          <w:szCs w:val="22"/>
        </w:rPr>
        <w:fldChar w:fldCharType="separate"/>
      </w:r>
      <w:r>
        <w:rPr>
          <w:rFonts w:ascii="Calibri" w:hAnsi="Calibri" w:eastAsia="宋体"/>
          <w:szCs w:val="22"/>
        </w:rPr>
        <w:t>5</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"_Toc26012" </w:instrText>
      </w:r>
      <w:r>
        <w:fldChar w:fldCharType="separate"/>
      </w:r>
      <w:r>
        <w:rPr>
          <w:rFonts w:hint="eastAsia" w:ascii="楷体_GB2312" w:hAnsi="Calibri Light" w:eastAsia="楷体_GB2312" w:cs="Times New Roman"/>
          <w:bCs/>
          <w:kern w:val="0"/>
          <w:szCs w:val="32"/>
        </w:rPr>
        <w:t>（二）基本原则</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_Toc26012 </w:instrText>
      </w:r>
      <w:r>
        <w:rPr>
          <w:rFonts w:ascii="Calibri" w:hAnsi="Calibri" w:eastAsia="宋体"/>
          <w:szCs w:val="22"/>
        </w:rPr>
        <w:fldChar w:fldCharType="separate"/>
      </w:r>
      <w:r>
        <w:rPr>
          <w:rFonts w:ascii="Calibri" w:hAnsi="Calibri" w:eastAsia="宋体"/>
          <w:szCs w:val="22"/>
        </w:rPr>
        <w:t>6</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"_Toc25248" </w:instrText>
      </w:r>
      <w:r>
        <w:fldChar w:fldCharType="separate"/>
      </w:r>
      <w:r>
        <w:rPr>
          <w:rFonts w:hint="eastAsia" w:ascii="楷体_GB2312" w:hAnsi="Calibri Light" w:eastAsia="楷体_GB2312" w:cs="Times New Roman"/>
          <w:bCs/>
          <w:kern w:val="0"/>
          <w:szCs w:val="32"/>
        </w:rPr>
        <w:t>（三）战略定位</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_Toc25248 </w:instrText>
      </w:r>
      <w:r>
        <w:rPr>
          <w:rFonts w:ascii="Calibri" w:hAnsi="Calibri" w:eastAsia="宋体"/>
          <w:szCs w:val="22"/>
        </w:rPr>
        <w:fldChar w:fldCharType="separate"/>
      </w:r>
      <w:r>
        <w:rPr>
          <w:rFonts w:ascii="Calibri" w:hAnsi="Calibri" w:eastAsia="宋体"/>
          <w:szCs w:val="22"/>
        </w:rPr>
        <w:t>7</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"_Toc12526" </w:instrText>
      </w:r>
      <w:r>
        <w:fldChar w:fldCharType="separate"/>
      </w:r>
      <w:r>
        <w:rPr>
          <w:rFonts w:hint="eastAsia" w:ascii="黑体" w:hAnsi="黑体" w:eastAsia="黑体" w:cs="Times New Roman"/>
          <w:bCs/>
          <w:kern w:val="0"/>
          <w:szCs w:val="32"/>
        </w:rPr>
        <w:t>三、发展目标</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_Toc12526 </w:instrText>
      </w:r>
      <w:r>
        <w:rPr>
          <w:rFonts w:ascii="Calibri" w:hAnsi="Calibri" w:eastAsia="宋体"/>
          <w:szCs w:val="22"/>
        </w:rPr>
        <w:fldChar w:fldCharType="separate"/>
      </w:r>
      <w:r>
        <w:rPr>
          <w:rFonts w:ascii="Calibri" w:hAnsi="Calibri" w:eastAsia="宋体"/>
          <w:szCs w:val="22"/>
        </w:rPr>
        <w:t>10</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"_Toc4005" </w:instrText>
      </w:r>
      <w:r>
        <w:fldChar w:fldCharType="separate"/>
      </w:r>
      <w:r>
        <w:rPr>
          <w:rFonts w:hint="eastAsia" w:ascii="楷体_GB2312" w:hAnsi="Calibri Light" w:eastAsia="楷体_GB2312" w:cs="Times New Roman"/>
          <w:bCs/>
          <w:kern w:val="0"/>
          <w:szCs w:val="32"/>
        </w:rPr>
        <w:t>（一）总体目标</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_Toc4005 </w:instrText>
      </w:r>
      <w:r>
        <w:rPr>
          <w:rFonts w:ascii="Calibri" w:hAnsi="Calibri" w:eastAsia="宋体"/>
          <w:szCs w:val="22"/>
        </w:rPr>
        <w:fldChar w:fldCharType="separate"/>
      </w:r>
      <w:r>
        <w:rPr>
          <w:rFonts w:ascii="Calibri" w:hAnsi="Calibri" w:eastAsia="宋体"/>
          <w:szCs w:val="22"/>
        </w:rPr>
        <w:t>10</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"_Toc2447" </w:instrText>
      </w:r>
      <w:r>
        <w:fldChar w:fldCharType="separate"/>
      </w:r>
      <w:r>
        <w:rPr>
          <w:rFonts w:hint="eastAsia" w:ascii="楷体_GB2312" w:hAnsi="Calibri Light" w:eastAsia="楷体_GB2312" w:cs="Times New Roman"/>
          <w:bCs/>
          <w:kern w:val="0"/>
          <w:szCs w:val="32"/>
        </w:rPr>
        <w:t>（二）</w:t>
      </w:r>
      <w:r>
        <w:rPr>
          <w:rFonts w:ascii="楷体_GB2312" w:hAnsi="Calibri Light" w:eastAsia="楷体_GB2312" w:cs="Times New Roman"/>
          <w:bCs/>
          <w:kern w:val="0"/>
          <w:szCs w:val="32"/>
        </w:rPr>
        <w:t>主要发展</w:t>
      </w:r>
      <w:r>
        <w:rPr>
          <w:rFonts w:hint="eastAsia" w:ascii="楷体_GB2312" w:hAnsi="Calibri Light" w:eastAsia="楷体_GB2312" w:cs="Times New Roman"/>
          <w:bCs/>
          <w:kern w:val="0"/>
          <w:szCs w:val="32"/>
        </w:rPr>
        <w:t>目标</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_Toc2447 </w:instrText>
      </w:r>
      <w:r>
        <w:rPr>
          <w:rFonts w:ascii="Calibri" w:hAnsi="Calibri" w:eastAsia="宋体"/>
          <w:szCs w:val="22"/>
        </w:rPr>
        <w:fldChar w:fldCharType="separate"/>
      </w:r>
      <w:r>
        <w:rPr>
          <w:rFonts w:ascii="Calibri" w:hAnsi="Calibri" w:eastAsia="宋体"/>
          <w:szCs w:val="22"/>
        </w:rPr>
        <w:t>11</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"_Toc16592" </w:instrText>
      </w:r>
      <w:r>
        <w:fldChar w:fldCharType="separate"/>
      </w:r>
      <w:r>
        <w:rPr>
          <w:rFonts w:hint="eastAsia" w:ascii="楷体_GB2312" w:hAnsi="Calibri Light" w:eastAsia="楷体_GB2312" w:cs="Times New Roman"/>
          <w:bCs/>
          <w:kern w:val="0"/>
          <w:szCs w:val="32"/>
        </w:rPr>
        <w:t>（三）主要预期指标</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_Toc16592 </w:instrText>
      </w:r>
      <w:r>
        <w:rPr>
          <w:rFonts w:ascii="Calibri" w:hAnsi="Calibri" w:eastAsia="宋体"/>
          <w:szCs w:val="22"/>
        </w:rPr>
        <w:fldChar w:fldCharType="separate"/>
      </w:r>
      <w:r>
        <w:rPr>
          <w:rFonts w:ascii="Calibri" w:hAnsi="Calibri" w:eastAsia="宋体"/>
          <w:szCs w:val="22"/>
        </w:rPr>
        <w:t>14</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"_Toc13949" </w:instrText>
      </w:r>
      <w:r>
        <w:fldChar w:fldCharType="separate"/>
      </w:r>
      <w:r>
        <w:rPr>
          <w:rFonts w:hint="eastAsia" w:ascii="黑体" w:hAnsi="黑体" w:eastAsia="黑体" w:cs="Times New Roman"/>
          <w:bCs/>
          <w:kern w:val="0"/>
          <w:szCs w:val="32"/>
        </w:rPr>
        <w:t>四、主要任务</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_Toc13949 </w:instrText>
      </w:r>
      <w:r>
        <w:rPr>
          <w:rFonts w:ascii="Calibri" w:hAnsi="Calibri" w:eastAsia="宋体"/>
          <w:szCs w:val="22"/>
        </w:rPr>
        <w:fldChar w:fldCharType="separate"/>
      </w:r>
      <w:r>
        <w:rPr>
          <w:rFonts w:ascii="Calibri" w:hAnsi="Calibri" w:eastAsia="宋体"/>
          <w:szCs w:val="22"/>
        </w:rPr>
        <w:t>16</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"_Toc9175" </w:instrText>
      </w:r>
      <w:r>
        <w:fldChar w:fldCharType="separate"/>
      </w:r>
      <w:r>
        <w:rPr>
          <w:rFonts w:hint="eastAsia" w:ascii="楷体_GB2312" w:hAnsi="Calibri Light" w:eastAsia="楷体_GB2312" w:cs="Times New Roman"/>
          <w:bCs/>
          <w:kern w:val="0"/>
          <w:szCs w:val="32"/>
        </w:rPr>
        <w:t>（一）落实立德树人根本任务，构建新时代德智体美劳全面培养的教育体系</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_Toc9175 </w:instrText>
      </w:r>
      <w:r>
        <w:rPr>
          <w:rFonts w:ascii="Calibri" w:hAnsi="Calibri" w:eastAsia="宋体"/>
          <w:szCs w:val="22"/>
        </w:rPr>
        <w:fldChar w:fldCharType="separate"/>
      </w:r>
      <w:r>
        <w:rPr>
          <w:rFonts w:ascii="Calibri" w:hAnsi="Calibri" w:eastAsia="宋体"/>
          <w:szCs w:val="22"/>
        </w:rPr>
        <w:t>16</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"_Toc20124" </w:instrText>
      </w:r>
      <w:r>
        <w:fldChar w:fldCharType="separate"/>
      </w:r>
      <w:r>
        <w:rPr>
          <w:rFonts w:hint="eastAsia" w:ascii="楷体_GB2312" w:hAnsi="Calibri Light" w:eastAsia="楷体_GB2312" w:cs="Times New Roman"/>
          <w:bCs/>
          <w:kern w:val="0"/>
          <w:szCs w:val="32"/>
        </w:rPr>
        <w:t>（二）创新教育供给有效方式，开创教育公共服务供给新局面</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_Toc20124 </w:instrText>
      </w:r>
      <w:r>
        <w:rPr>
          <w:rFonts w:ascii="Calibri" w:hAnsi="Calibri" w:eastAsia="宋体"/>
          <w:szCs w:val="22"/>
        </w:rPr>
        <w:fldChar w:fldCharType="separate"/>
      </w:r>
      <w:r>
        <w:rPr>
          <w:rFonts w:ascii="Calibri" w:hAnsi="Calibri" w:eastAsia="宋体"/>
          <w:szCs w:val="22"/>
        </w:rPr>
        <w:t>20</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"_Toc7169" </w:instrText>
      </w:r>
      <w:r>
        <w:fldChar w:fldCharType="separate"/>
      </w:r>
      <w:r>
        <w:rPr>
          <w:rFonts w:hint="eastAsia" w:ascii="楷体_GB2312" w:hAnsi="Calibri Light" w:eastAsia="楷体_GB2312" w:cs="Times New Roman"/>
          <w:bCs/>
          <w:kern w:val="0"/>
          <w:szCs w:val="32"/>
        </w:rPr>
        <w:t>（三）立足于高品质和有特色，实现各级各类教育发展新突破</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_Toc7169 </w:instrText>
      </w:r>
      <w:r>
        <w:rPr>
          <w:rFonts w:ascii="Calibri" w:hAnsi="Calibri" w:eastAsia="宋体"/>
          <w:szCs w:val="22"/>
        </w:rPr>
        <w:fldChar w:fldCharType="separate"/>
      </w:r>
      <w:r>
        <w:rPr>
          <w:rFonts w:ascii="Calibri" w:hAnsi="Calibri" w:eastAsia="宋体"/>
          <w:szCs w:val="22"/>
        </w:rPr>
        <w:t>25</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"_Toc6181" </w:instrText>
      </w:r>
      <w:r>
        <w:fldChar w:fldCharType="separate"/>
      </w:r>
      <w:r>
        <w:rPr>
          <w:rFonts w:hint="eastAsia" w:ascii="楷体_GB2312" w:hAnsi="Calibri Light" w:eastAsia="楷体_GB2312" w:cs="Times New Roman"/>
          <w:bCs/>
          <w:kern w:val="0"/>
          <w:szCs w:val="32"/>
        </w:rPr>
        <w:t>（四）加强创新能力整体建设，夯实教育高质量发展基础</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_Toc6181 </w:instrText>
      </w:r>
      <w:r>
        <w:rPr>
          <w:rFonts w:ascii="Calibri" w:hAnsi="Calibri" w:eastAsia="宋体"/>
          <w:szCs w:val="22"/>
        </w:rPr>
        <w:fldChar w:fldCharType="separate"/>
      </w:r>
      <w:r>
        <w:rPr>
          <w:rFonts w:ascii="Calibri" w:hAnsi="Calibri" w:eastAsia="宋体"/>
          <w:szCs w:val="22"/>
        </w:rPr>
        <w:t>39</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"_Toc20082" </w:instrText>
      </w:r>
      <w:r>
        <w:fldChar w:fldCharType="separate"/>
      </w:r>
      <w:r>
        <w:rPr>
          <w:rFonts w:hint="eastAsia" w:ascii="楷体_GB2312" w:hAnsi="Calibri Light" w:eastAsia="楷体_GB2312" w:cs="Times New Roman"/>
          <w:bCs/>
          <w:kern w:val="0"/>
          <w:szCs w:val="32"/>
        </w:rPr>
        <w:t>（五）建设高水平的教师队伍，支撑区域教育中心建设</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_Toc20082 </w:instrText>
      </w:r>
      <w:r>
        <w:rPr>
          <w:rFonts w:ascii="Calibri" w:hAnsi="Calibri" w:eastAsia="宋体"/>
          <w:szCs w:val="22"/>
        </w:rPr>
        <w:fldChar w:fldCharType="separate"/>
      </w:r>
      <w:r>
        <w:rPr>
          <w:rFonts w:ascii="Calibri" w:hAnsi="Calibri" w:eastAsia="宋体"/>
          <w:szCs w:val="22"/>
        </w:rPr>
        <w:t>41</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"_Toc25678" </w:instrText>
      </w:r>
      <w:r>
        <w:fldChar w:fldCharType="separate"/>
      </w:r>
      <w:r>
        <w:rPr>
          <w:rFonts w:hint="eastAsia" w:ascii="楷体_GB2312" w:hAnsi="Calibri Light" w:eastAsia="楷体_GB2312" w:cs="Times New Roman"/>
          <w:bCs/>
          <w:kern w:val="0"/>
          <w:szCs w:val="32"/>
        </w:rPr>
        <w:t>（六）加快智慧教育系统发展，推动教育教学实践新变革</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_Toc25678 </w:instrText>
      </w:r>
      <w:r>
        <w:rPr>
          <w:rFonts w:ascii="Calibri" w:hAnsi="Calibri" w:eastAsia="宋体"/>
          <w:szCs w:val="22"/>
        </w:rPr>
        <w:fldChar w:fldCharType="separate"/>
      </w:r>
      <w:r>
        <w:rPr>
          <w:rFonts w:ascii="Calibri" w:hAnsi="Calibri" w:eastAsia="宋体"/>
          <w:szCs w:val="22"/>
        </w:rPr>
        <w:t>45</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"_Toc3489" </w:instrText>
      </w:r>
      <w:r>
        <w:fldChar w:fldCharType="separate"/>
      </w:r>
      <w:r>
        <w:rPr>
          <w:rFonts w:hint="eastAsia" w:ascii="楷体_GB2312" w:hAnsi="Calibri Light" w:eastAsia="楷体_GB2312" w:cs="Times New Roman"/>
          <w:bCs/>
          <w:kern w:val="0"/>
          <w:szCs w:val="32"/>
        </w:rPr>
        <w:t>（七）实现更高水平教育开放，提升教育国际影响力和竞争力</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_Toc3489 </w:instrText>
      </w:r>
      <w:r>
        <w:rPr>
          <w:rFonts w:ascii="Calibri" w:hAnsi="Calibri" w:eastAsia="宋体"/>
          <w:szCs w:val="22"/>
        </w:rPr>
        <w:fldChar w:fldCharType="separate"/>
      </w:r>
      <w:r>
        <w:rPr>
          <w:rFonts w:ascii="Calibri" w:hAnsi="Calibri" w:eastAsia="宋体"/>
          <w:szCs w:val="22"/>
        </w:rPr>
        <w:t>48</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"_Toc20839" </w:instrText>
      </w:r>
      <w:r>
        <w:fldChar w:fldCharType="separate"/>
      </w:r>
      <w:r>
        <w:rPr>
          <w:rFonts w:hint="eastAsia" w:ascii="楷体_GB2312" w:hAnsi="Calibri Light" w:eastAsia="楷体_GB2312" w:cs="Times New Roman"/>
          <w:bCs/>
          <w:kern w:val="0"/>
          <w:szCs w:val="32"/>
        </w:rPr>
        <w:t>（八）完善多方参与体制机制，形成教育治理现代化新格局</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_Toc20839 </w:instrText>
      </w:r>
      <w:r>
        <w:rPr>
          <w:rFonts w:ascii="Calibri" w:hAnsi="Calibri" w:eastAsia="宋体"/>
          <w:szCs w:val="22"/>
        </w:rPr>
        <w:fldChar w:fldCharType="separate"/>
      </w:r>
      <w:r>
        <w:rPr>
          <w:rFonts w:ascii="Calibri" w:hAnsi="Calibri" w:eastAsia="宋体"/>
          <w:szCs w:val="22"/>
        </w:rPr>
        <w:t>51</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"_Toc1413" </w:instrText>
      </w:r>
      <w:r>
        <w:fldChar w:fldCharType="separate"/>
      </w:r>
      <w:r>
        <w:rPr>
          <w:rFonts w:hint="eastAsia" w:ascii="黑体" w:hAnsi="黑体" w:eastAsia="黑体" w:cs="Times New Roman"/>
          <w:bCs/>
          <w:kern w:val="0"/>
          <w:szCs w:val="32"/>
        </w:rPr>
        <w:t>五、组织实施</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_Toc1413 </w:instrText>
      </w:r>
      <w:r>
        <w:rPr>
          <w:rFonts w:ascii="Calibri" w:hAnsi="Calibri" w:eastAsia="宋体"/>
          <w:szCs w:val="22"/>
        </w:rPr>
        <w:fldChar w:fldCharType="separate"/>
      </w:r>
      <w:r>
        <w:rPr>
          <w:rFonts w:ascii="Calibri" w:hAnsi="Calibri" w:eastAsia="宋体"/>
          <w:szCs w:val="22"/>
        </w:rPr>
        <w:t>56</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"_Toc28364" </w:instrText>
      </w:r>
      <w:r>
        <w:fldChar w:fldCharType="separate"/>
      </w:r>
      <w:r>
        <w:rPr>
          <w:rFonts w:hint="eastAsia" w:ascii="楷体_GB2312" w:hAnsi="Calibri Light" w:eastAsia="楷体_GB2312" w:cs="Times New Roman"/>
          <w:bCs/>
          <w:kern w:val="0"/>
          <w:szCs w:val="32"/>
        </w:rPr>
        <w:t>（一）加强党对教育工作全面领导</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_Toc28364 </w:instrText>
      </w:r>
      <w:r>
        <w:rPr>
          <w:rFonts w:ascii="Calibri" w:hAnsi="Calibri" w:eastAsia="宋体"/>
          <w:szCs w:val="22"/>
        </w:rPr>
        <w:fldChar w:fldCharType="separate"/>
      </w:r>
      <w:r>
        <w:rPr>
          <w:rFonts w:ascii="Calibri" w:hAnsi="Calibri" w:eastAsia="宋体"/>
          <w:szCs w:val="22"/>
        </w:rPr>
        <w:t>56</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"_Toc22088" </w:instrText>
      </w:r>
      <w:r>
        <w:fldChar w:fldCharType="separate"/>
      </w:r>
      <w:r>
        <w:rPr>
          <w:rFonts w:hint="eastAsia" w:ascii="楷体_GB2312" w:hAnsi="Calibri Light" w:eastAsia="楷体_GB2312" w:cs="Times New Roman"/>
          <w:bCs/>
          <w:kern w:val="0"/>
          <w:szCs w:val="32"/>
        </w:rPr>
        <w:t>（二）建立健全教育投入保障机制</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_Toc22088 </w:instrText>
      </w:r>
      <w:r>
        <w:rPr>
          <w:rFonts w:ascii="Calibri" w:hAnsi="Calibri" w:eastAsia="宋体"/>
          <w:szCs w:val="22"/>
        </w:rPr>
        <w:fldChar w:fldCharType="separate"/>
      </w:r>
      <w:r>
        <w:rPr>
          <w:rFonts w:ascii="Calibri" w:hAnsi="Calibri" w:eastAsia="宋体"/>
          <w:szCs w:val="22"/>
        </w:rPr>
        <w:t>57</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"_Toc22860" </w:instrText>
      </w:r>
      <w:r>
        <w:fldChar w:fldCharType="separate"/>
      </w:r>
      <w:r>
        <w:rPr>
          <w:rFonts w:hint="eastAsia" w:ascii="楷体_GB2312" w:hAnsi="Calibri Light" w:eastAsia="楷体_GB2312" w:cs="Times New Roman"/>
          <w:bCs/>
          <w:kern w:val="0"/>
          <w:szCs w:val="32"/>
        </w:rPr>
        <w:t>（三）建立实施、监测与改进机制</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_Toc22860 </w:instrText>
      </w:r>
      <w:r>
        <w:rPr>
          <w:rFonts w:ascii="Calibri" w:hAnsi="Calibri" w:eastAsia="宋体"/>
          <w:szCs w:val="22"/>
        </w:rPr>
        <w:fldChar w:fldCharType="separate"/>
      </w:r>
      <w:r>
        <w:rPr>
          <w:rFonts w:ascii="Calibri" w:hAnsi="Calibri" w:eastAsia="宋体"/>
          <w:szCs w:val="22"/>
        </w:rPr>
        <w:t>58</w:t>
      </w:r>
      <w:r>
        <w:rPr>
          <w:rFonts w:ascii="Calibri" w:hAnsi="Calibri" w:eastAsia="宋体"/>
          <w:szCs w:val="22"/>
        </w:rPr>
        <w:fldChar w:fldCharType="end"/>
      </w:r>
      <w:r>
        <w:fldChar w:fldCharType="end"/>
      </w:r>
    </w:p>
    <w:p>
      <w:pPr>
        <w:pStyle w:val="12"/>
        <w:tabs>
          <w:tab w:val="right" w:leader="dot" w:pos="7936"/>
        </w:tabs>
        <w:rPr>
          <w:rFonts w:ascii="Calibri" w:hAnsi="Calibri" w:eastAsia="宋体"/>
          <w:szCs w:val="22"/>
        </w:rPr>
      </w:pPr>
      <w:r>
        <w:fldChar w:fldCharType="begin"/>
      </w:r>
      <w:r>
        <w:instrText xml:space="preserve">HYPERLINK  \l "_Toc31109" </w:instrText>
      </w:r>
      <w:r>
        <w:fldChar w:fldCharType="separate"/>
      </w:r>
      <w:r>
        <w:rPr>
          <w:rFonts w:hint="eastAsia" w:ascii="楷体_GB2312" w:hAnsi="Calibri Light" w:eastAsia="楷体_GB2312" w:cs="Times New Roman"/>
          <w:bCs/>
          <w:kern w:val="0"/>
          <w:szCs w:val="32"/>
        </w:rPr>
        <w:t>（四）营造教育发展良好生态环境</w:t>
      </w:r>
      <w:r>
        <w:rPr>
          <w:rFonts w:ascii="Calibri" w:hAnsi="Calibri" w:eastAsia="宋体"/>
          <w:szCs w:val="22"/>
        </w:rPr>
        <w:tab/>
      </w:r>
      <w:r>
        <w:rPr>
          <w:rFonts w:ascii="Calibri" w:hAnsi="Calibri" w:eastAsia="宋体"/>
          <w:szCs w:val="22"/>
        </w:rPr>
        <w:fldChar w:fldCharType="begin"/>
      </w:r>
      <w:r>
        <w:rPr>
          <w:rFonts w:ascii="Calibri" w:hAnsi="Calibri" w:eastAsia="宋体"/>
          <w:szCs w:val="22"/>
        </w:rPr>
        <w:instrText xml:space="preserve"> PAGEREF _Toc31109 </w:instrText>
      </w:r>
      <w:r>
        <w:rPr>
          <w:rFonts w:ascii="Calibri" w:hAnsi="Calibri" w:eastAsia="宋体"/>
          <w:szCs w:val="22"/>
        </w:rPr>
        <w:fldChar w:fldCharType="separate"/>
      </w:r>
      <w:r>
        <w:rPr>
          <w:rFonts w:ascii="Calibri" w:hAnsi="Calibri" w:eastAsia="宋体"/>
          <w:szCs w:val="22"/>
        </w:rPr>
        <w:t>59</w:t>
      </w:r>
      <w:r>
        <w:rPr>
          <w:rFonts w:ascii="Calibri" w:hAnsi="Calibri" w:eastAsia="宋体"/>
          <w:szCs w:val="22"/>
        </w:rPr>
        <w:fldChar w:fldCharType="end"/>
      </w:r>
      <w:r>
        <w:fldChar w:fldCharType="end"/>
      </w:r>
    </w:p>
    <w:p>
      <w:pPr>
        <w:rPr>
          <w:rFonts w:ascii="等线" w:hAnsi="等线" w:eastAsia="等线"/>
        </w:rPr>
      </w:pPr>
      <w:r>
        <w:rPr>
          <w:rFonts w:ascii="等线" w:hAnsi="等线" w:eastAsia="等线"/>
          <w:bCs/>
          <w:szCs w:val="28"/>
          <w:lang w:val="zh-CN"/>
        </w:rPr>
        <w:fldChar w:fldCharType="end"/>
      </w:r>
    </w:p>
    <w:p>
      <w:pPr>
        <w:widowControl/>
        <w:jc w:val="left"/>
        <w:rPr>
          <w:rFonts w:ascii="Times New Roman" w:hAnsi="Times New Roman" w:eastAsia="仿宋_GB2312" w:cs="Times New Roman"/>
          <w:kern w:val="0"/>
          <w:sz w:val="32"/>
          <w:szCs w:val="32"/>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footnotePr>
          <w:pgSz w:w="11906" w:h="16838"/>
          <w:pgMar w:top="1985" w:right="1985" w:bottom="1985" w:left="1985" w:header="907" w:footer="1134" w:gutter="0"/>
          <w:cols w:space="720" w:num="1"/>
          <w:titlePg/>
          <w:docGrid w:type="lines" w:linePitch="312"/>
        </w:sect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郑州教育现代化2035</w:t>
      </w:r>
    </w:p>
    <w:p>
      <w:pPr>
        <w:jc w:val="center"/>
        <w:rPr>
          <w:rFonts w:ascii="楷体" w:hAnsi="楷体" w:eastAsia="楷体" w:cs="楷体"/>
          <w:color w:val="000000"/>
          <w:sz w:val="32"/>
          <w:szCs w:val="32"/>
        </w:rPr>
      </w:pPr>
      <w:r>
        <w:rPr>
          <w:rFonts w:hint="eastAsia" w:ascii="楷体" w:hAnsi="楷体" w:eastAsia="楷体" w:cs="楷体"/>
          <w:color w:val="000000"/>
          <w:sz w:val="32"/>
          <w:szCs w:val="32"/>
        </w:rPr>
        <w:t>（征求意见稿）</w:t>
      </w:r>
    </w:p>
    <w:p>
      <w:pPr>
        <w:widowControl/>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为深入贯彻落实习近平新时代中国特色社会主义思想，</w:t>
      </w:r>
      <w:r>
        <w:rPr>
          <w:rFonts w:ascii="Times New Roman" w:hAnsi="Times New Roman" w:eastAsia="仿宋_GB2312" w:cs="Times New Roman"/>
          <w:kern w:val="0"/>
          <w:sz w:val="32"/>
          <w:szCs w:val="32"/>
        </w:rPr>
        <w:t>加快推进郑州教育现代化发展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建设区域性教育中心城市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办好人民满意的教育，更好地服务国家战略和郑州</w:t>
      </w:r>
      <w:r>
        <w:rPr>
          <w:rFonts w:hint="eastAsia" w:ascii="Times New Roman" w:hAnsi="Times New Roman" w:eastAsia="仿宋_GB2312" w:cs="Times New Roman"/>
          <w:kern w:val="0"/>
          <w:sz w:val="32"/>
          <w:szCs w:val="32"/>
        </w:rPr>
        <w:t>建设国家中心城市</w:t>
      </w:r>
      <w:r>
        <w:rPr>
          <w:rFonts w:ascii="Times New Roman" w:hAnsi="Times New Roman" w:eastAsia="楷体_GB2312" w:cs="Times New Roman"/>
          <w:kern w:val="0"/>
          <w:sz w:val="28"/>
          <w:szCs w:val="32"/>
          <w:vertAlign w:val="superscript"/>
        </w:rPr>
        <w:footnoteReference w:id="0"/>
      </w:r>
      <w:r>
        <w:rPr>
          <w:rFonts w:ascii="Times New Roman" w:hAnsi="Times New Roman" w:eastAsia="仿宋_GB2312" w:cs="Times New Roman"/>
          <w:kern w:val="0"/>
          <w:sz w:val="32"/>
          <w:szCs w:val="32"/>
        </w:rPr>
        <w:t>，根据《中国教育现代化2035》</w:t>
      </w:r>
      <w:r>
        <w:rPr>
          <w:rFonts w:hint="eastAsia" w:ascii="Times New Roman" w:hAnsi="Times New Roman" w:eastAsia="仿宋_GB2312" w:cs="Times New Roman"/>
          <w:kern w:val="0"/>
          <w:sz w:val="32"/>
          <w:szCs w:val="32"/>
        </w:rPr>
        <w:t>和《河南教育现代化2</w:t>
      </w:r>
      <w:r>
        <w:rPr>
          <w:rFonts w:ascii="Times New Roman" w:hAnsi="Times New Roman" w:eastAsia="仿宋_GB2312" w:cs="Times New Roman"/>
          <w:kern w:val="0"/>
          <w:sz w:val="32"/>
          <w:szCs w:val="32"/>
        </w:rPr>
        <w:t>035</w:t>
      </w:r>
      <w:r>
        <w:rPr>
          <w:rFonts w:hint="eastAsia" w:ascii="Times New Roman" w:hAnsi="Times New Roman" w:eastAsia="仿宋_GB2312" w:cs="Times New Roman"/>
          <w:kern w:val="0"/>
          <w:sz w:val="32"/>
          <w:szCs w:val="32"/>
        </w:rPr>
        <w:t>》，高质量建设“美好教育”，满足人民群众对美好生活的需求，</w:t>
      </w:r>
      <w:r>
        <w:rPr>
          <w:rFonts w:ascii="Times New Roman" w:hAnsi="Times New Roman" w:eastAsia="仿宋_GB2312" w:cs="Times New Roman"/>
          <w:kern w:val="0"/>
          <w:sz w:val="32"/>
          <w:szCs w:val="32"/>
        </w:rPr>
        <w:t>结合</w:t>
      </w:r>
      <w:r>
        <w:rPr>
          <w:rFonts w:hint="eastAsia" w:ascii="Times New Roman" w:hAnsi="Times New Roman" w:eastAsia="仿宋_GB2312" w:cs="Times New Roman"/>
          <w:kern w:val="0"/>
          <w:sz w:val="32"/>
          <w:szCs w:val="32"/>
        </w:rPr>
        <w:t>我市</w:t>
      </w:r>
      <w:r>
        <w:rPr>
          <w:rFonts w:ascii="Times New Roman" w:hAnsi="Times New Roman" w:eastAsia="仿宋_GB2312" w:cs="Times New Roman"/>
          <w:kern w:val="0"/>
          <w:sz w:val="32"/>
          <w:szCs w:val="32"/>
        </w:rPr>
        <w:t>实际，制定本文件。</w:t>
      </w:r>
    </w:p>
    <w:p>
      <w:pPr>
        <w:keepNext/>
        <w:keepLines/>
        <w:spacing w:beforeLines="100" w:afterLines="100" w:line="600" w:lineRule="exact"/>
        <w:ind w:firstLine="643" w:firstLineChars="200"/>
        <w:outlineLvl w:val="1"/>
        <w:rPr>
          <w:rFonts w:ascii="黑体" w:hAnsi="黑体" w:eastAsia="黑体" w:cs="Times New Roman"/>
          <w:b/>
          <w:bCs/>
          <w:kern w:val="0"/>
          <w:sz w:val="32"/>
          <w:szCs w:val="32"/>
          <w:u w:val="single"/>
        </w:rPr>
      </w:pPr>
      <w:bookmarkStart w:id="0" w:name="_Toc1027614"/>
      <w:bookmarkStart w:id="1" w:name="_Toc5348"/>
      <w:r>
        <w:rPr>
          <w:rFonts w:hint="eastAsia" w:ascii="黑体" w:hAnsi="黑体" w:eastAsia="黑体" w:cs="Times New Roman"/>
          <w:b/>
          <w:bCs/>
          <w:kern w:val="0"/>
          <w:sz w:val="32"/>
          <w:szCs w:val="32"/>
        </w:rPr>
        <w:t>一、</w:t>
      </w:r>
      <w:bookmarkEnd w:id="0"/>
      <w:r>
        <w:rPr>
          <w:rFonts w:hint="eastAsia" w:ascii="黑体" w:hAnsi="黑体" w:eastAsia="黑体" w:cs="Times New Roman"/>
          <w:b/>
          <w:bCs/>
          <w:kern w:val="0"/>
          <w:sz w:val="32"/>
          <w:szCs w:val="32"/>
        </w:rPr>
        <w:t>战略背景</w:t>
      </w:r>
      <w:bookmarkEnd w:id="1"/>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改革开放特别是党的十八大以来，以习近平新时代中国特色社会主义思想为指导，在省委、省政府的正确领导下，郑州始终坚持教育优先发展战略，全面深化教育改革，全面推进依法治教，着力促进教育公平，着力提高教育质量，实现全市教育事业快速发展</w:t>
      </w:r>
      <w:r>
        <w:rPr>
          <w:rFonts w:ascii="仿宋_GB2312" w:hAnsi="仿宋" w:eastAsia="楷体_GB2312" w:cs="Times New Roman"/>
          <w:sz w:val="28"/>
          <w:szCs w:val="32"/>
          <w:vertAlign w:val="superscript"/>
        </w:rPr>
        <w:footnoteReference w:id="1"/>
      </w:r>
      <w:r>
        <w:rPr>
          <w:rFonts w:hint="eastAsia" w:ascii="仿宋_GB2312" w:hAnsi="仿宋" w:eastAsia="仿宋_GB2312" w:cs="Times New Roman"/>
          <w:sz w:val="32"/>
          <w:szCs w:val="32"/>
        </w:rPr>
        <w:t>，教育现代化总体水平位居全省前列，市民的教育获得感不断增强，郑州教育在国家中部地区、中原城市群的影响力不断提升，为河南现代化建设、中原更加出彩和郑州城市发展做出了重大贡献。</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郑州教育发展得益于始终坚持党对教育事业的领导，牢牢把握社会主义办学方向；</w:t>
      </w:r>
      <w:r>
        <w:rPr>
          <w:rFonts w:ascii="仿宋_GB2312" w:hAnsi="仿宋" w:eastAsia="仿宋_GB2312" w:cs="Times New Roman"/>
          <w:sz w:val="32"/>
          <w:szCs w:val="32"/>
        </w:rPr>
        <w:t>得益于始终把立德树人作为根本任务，</w:t>
      </w:r>
      <w:r>
        <w:rPr>
          <w:rFonts w:hint="eastAsia" w:ascii="仿宋_GB2312" w:hAnsi="仿宋" w:eastAsia="仿宋_GB2312" w:cs="Times New Roman"/>
          <w:sz w:val="32"/>
          <w:szCs w:val="32"/>
        </w:rPr>
        <w:t>创新育人模式、优化育人环境；得益于始终把教师队伍建设作为基础工作，</w:t>
      </w:r>
      <w:r>
        <w:rPr>
          <w:rFonts w:hint="eastAsia" w:ascii="仿宋_GB2312" w:hAnsi="仿宋" w:eastAsia="仿宋_GB2312" w:cs="Times New Roman"/>
          <w:bCs/>
          <w:sz w:val="32"/>
          <w:szCs w:val="32"/>
        </w:rPr>
        <w:t>持续完善教师补充机制、创新教师培训模式、健全教师管理机制；</w:t>
      </w:r>
      <w:r>
        <w:rPr>
          <w:rFonts w:ascii="仿宋_GB2312" w:hAnsi="仿宋" w:eastAsia="仿宋_GB2312" w:cs="Times New Roman"/>
          <w:sz w:val="32"/>
          <w:szCs w:val="32"/>
        </w:rPr>
        <w:t>得益于始终坚持与城市发展相匹配适应</w:t>
      </w:r>
      <w:r>
        <w:rPr>
          <w:rFonts w:hint="eastAsia" w:ascii="仿宋_GB2312" w:hAnsi="仿宋" w:eastAsia="仿宋_GB2312" w:cs="Times New Roman"/>
          <w:sz w:val="32"/>
          <w:szCs w:val="32"/>
        </w:rPr>
        <w:t>，提升城市教育服务能级。</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面向2</w:t>
      </w:r>
      <w:r>
        <w:rPr>
          <w:rFonts w:ascii="仿宋_GB2312" w:hAnsi="仿宋" w:eastAsia="仿宋_GB2312" w:cs="Times New Roman"/>
          <w:sz w:val="32"/>
          <w:szCs w:val="32"/>
        </w:rPr>
        <w:t>035</w:t>
      </w:r>
      <w:r>
        <w:rPr>
          <w:rFonts w:hint="eastAsia" w:ascii="仿宋_GB2312" w:hAnsi="仿宋" w:eastAsia="仿宋_GB2312" w:cs="Times New Roman"/>
          <w:sz w:val="32"/>
          <w:szCs w:val="32"/>
        </w:rPr>
        <w:t>，站在实现中华民族伟大复兴、服务支撑国家基本现代化高度，国家做出加快推进教育现代化、建设教育强国的总体设计</w:t>
      </w:r>
      <w:r>
        <w:rPr>
          <w:rFonts w:ascii="仿宋_GB2312" w:hAnsi="仿宋" w:eastAsia="楷体_GB2312" w:cs="Times New Roman"/>
          <w:sz w:val="28"/>
          <w:szCs w:val="32"/>
          <w:vertAlign w:val="superscript"/>
        </w:rPr>
        <w:footnoteReference w:id="2"/>
      </w:r>
      <w:r>
        <w:rPr>
          <w:rFonts w:hint="eastAsia" w:ascii="仿宋_GB2312" w:hAnsi="仿宋" w:eastAsia="仿宋_GB2312" w:cs="Times New Roman"/>
          <w:sz w:val="32"/>
          <w:szCs w:val="32"/>
        </w:rPr>
        <w:t>，</w:t>
      </w:r>
      <w:r>
        <w:rPr>
          <w:rFonts w:ascii="仿宋_GB2312" w:hAnsi="仿宋" w:eastAsia="仿宋_GB2312" w:cs="Times New Roman"/>
          <w:sz w:val="32"/>
          <w:szCs w:val="32"/>
        </w:rPr>
        <w:t>做</w:t>
      </w:r>
      <w:r>
        <w:rPr>
          <w:rFonts w:hint="eastAsia" w:ascii="仿宋_GB2312" w:hAnsi="仿宋" w:eastAsia="仿宋_GB2312" w:cs="Times New Roman"/>
          <w:sz w:val="32"/>
          <w:szCs w:val="32"/>
        </w:rPr>
        <w:t>出把郑州建设成为国家中心城市的战略安排。郑州教育发展必须深入把握教育在新时代国家发展大局中的责任，充分发挥教育的先导性、基础性和全局性作用，担当新使命、抢抓新机遇、直面新要求，推动教育现代化发展迈上新台阶。</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2" w:name="_Toc6988009"/>
      <w:bookmarkStart w:id="3" w:name="_Toc30948"/>
      <w:r>
        <w:rPr>
          <w:rFonts w:hint="eastAsia" w:ascii="楷体_GB2312" w:hAnsi="Calibri Light" w:eastAsia="楷体_GB2312" w:cs="Times New Roman"/>
          <w:b/>
          <w:bCs/>
          <w:kern w:val="0"/>
          <w:sz w:val="32"/>
          <w:szCs w:val="32"/>
        </w:rPr>
        <w:t>（一）国家战略任务赋予郑州教育现代化发展新使命</w:t>
      </w:r>
      <w:bookmarkEnd w:id="2"/>
      <w:bookmarkEnd w:id="3"/>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进入新时代</w:t>
      </w:r>
      <w:r>
        <w:rPr>
          <w:rFonts w:hint="eastAsia" w:ascii="仿宋_GB2312" w:hAnsi="仿宋" w:eastAsia="仿宋_GB2312" w:cs="Times New Roman"/>
          <w:sz w:val="32"/>
          <w:szCs w:val="32"/>
        </w:rPr>
        <w:t>，</w:t>
      </w:r>
      <w:r>
        <w:rPr>
          <w:rFonts w:ascii="仿宋_GB2312" w:hAnsi="仿宋" w:eastAsia="仿宋_GB2312" w:cs="Times New Roman"/>
          <w:sz w:val="32"/>
          <w:szCs w:val="32"/>
        </w:rPr>
        <w:t>郑州开启了全面</w:t>
      </w:r>
      <w:r>
        <w:rPr>
          <w:rFonts w:hint="eastAsia" w:ascii="仿宋_GB2312" w:hAnsi="仿宋" w:eastAsia="仿宋_GB2312" w:cs="Times New Roman"/>
          <w:sz w:val="32"/>
          <w:szCs w:val="32"/>
        </w:rPr>
        <w:t>建设具有发展活力、人文魅力、生态智慧、开放包容的国家中心城市新征程，努力建设国际综合枢纽、国际物流中心、国家重要的经济增长中心、国家极具活力的创新创业中心、国家内陆地区对外开放门户、华夏历史文明传承创新中心</w:t>
      </w:r>
      <w:r>
        <w:rPr>
          <w:rFonts w:ascii="等线" w:hAnsi="等线" w:eastAsia="仿宋_GB2312"/>
          <w:sz w:val="32"/>
          <w:vertAlign w:val="superscript"/>
        </w:rPr>
        <w:footnoteReference w:id="3"/>
      </w:r>
      <w:r>
        <w:rPr>
          <w:rFonts w:hint="eastAsia" w:ascii="仿宋_GB2312" w:hAnsi="仿宋" w:eastAsia="仿宋_GB2312" w:cs="Times New Roman"/>
          <w:sz w:val="32"/>
          <w:szCs w:val="32"/>
        </w:rPr>
        <w:t>，是我国“丝绸之路经济带”重要的节点城市，承担辐射带动中原城市群发展、服务支撑中部崛起的使命</w:t>
      </w:r>
      <w:r>
        <w:rPr>
          <w:rFonts w:ascii="仿宋_GB2312" w:hAnsi="仿宋" w:eastAsia="楷体_GB2312" w:cs="Times New Roman"/>
          <w:sz w:val="28"/>
          <w:szCs w:val="32"/>
          <w:vertAlign w:val="superscript"/>
        </w:rPr>
        <w:footnoteReference w:id="4"/>
      </w:r>
      <w:r>
        <w:rPr>
          <w:rFonts w:hint="eastAsia" w:ascii="仿宋_GB2312" w:hAnsi="仿宋" w:eastAsia="仿宋_GB2312" w:cs="Times New Roman"/>
          <w:sz w:val="32"/>
          <w:szCs w:val="32"/>
        </w:rPr>
        <w:t>。落实国家重大战略，对教育的需求比以往任何时候都更为迫切</w:t>
      </w:r>
      <w:r>
        <w:rPr>
          <w:rFonts w:ascii="仿宋_GB2312" w:hAnsi="仿宋" w:eastAsia="仿宋_GB2312" w:cs="Times New Roman"/>
          <w:sz w:val="32"/>
          <w:szCs w:val="32"/>
        </w:rPr>
        <w:t>，亟需培养大批高素质、创新型人才，不断提升教育服务经济</w:t>
      </w:r>
      <w:r>
        <w:rPr>
          <w:rFonts w:hint="eastAsia" w:ascii="仿宋_GB2312" w:hAnsi="仿宋" w:eastAsia="仿宋_GB2312" w:cs="Times New Roman"/>
          <w:sz w:val="32"/>
          <w:szCs w:val="32"/>
        </w:rPr>
        <w:t>、</w:t>
      </w:r>
      <w:r>
        <w:rPr>
          <w:rFonts w:ascii="仿宋_GB2312" w:hAnsi="仿宋" w:eastAsia="仿宋_GB2312" w:cs="Times New Roman"/>
          <w:sz w:val="32"/>
          <w:szCs w:val="32"/>
        </w:rPr>
        <w:t>科技创新</w:t>
      </w:r>
      <w:r>
        <w:rPr>
          <w:rFonts w:hint="eastAsia" w:ascii="仿宋_GB2312" w:hAnsi="仿宋" w:eastAsia="仿宋_GB2312" w:cs="Times New Roman"/>
          <w:sz w:val="32"/>
          <w:szCs w:val="32"/>
        </w:rPr>
        <w:t>、</w:t>
      </w:r>
      <w:r>
        <w:rPr>
          <w:rFonts w:ascii="仿宋_GB2312" w:hAnsi="仿宋" w:eastAsia="仿宋_GB2312" w:cs="Times New Roman"/>
          <w:sz w:val="32"/>
          <w:szCs w:val="32"/>
        </w:rPr>
        <w:t>文化和</w:t>
      </w:r>
      <w:r>
        <w:rPr>
          <w:rFonts w:hint="eastAsia" w:ascii="仿宋_GB2312" w:hAnsi="仿宋" w:eastAsia="仿宋_GB2312" w:cs="Times New Roman"/>
          <w:sz w:val="32"/>
          <w:szCs w:val="32"/>
        </w:rPr>
        <w:t>中原出彩的能力。</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4" w:name="_Toc27120"/>
      <w:r>
        <w:rPr>
          <w:rFonts w:hint="eastAsia" w:ascii="楷体_GB2312" w:hAnsi="Calibri Light" w:eastAsia="楷体_GB2312" w:cs="Times New Roman"/>
          <w:b/>
          <w:bCs/>
          <w:kern w:val="0"/>
          <w:sz w:val="32"/>
          <w:szCs w:val="32"/>
        </w:rPr>
        <w:t>（二）全球</w:t>
      </w:r>
      <w:r>
        <w:rPr>
          <w:rFonts w:ascii="楷体_GB2312" w:hAnsi="Calibri Light" w:eastAsia="楷体_GB2312" w:cs="Times New Roman"/>
          <w:b/>
          <w:bCs/>
          <w:kern w:val="0"/>
          <w:sz w:val="32"/>
          <w:szCs w:val="32"/>
        </w:rPr>
        <w:t>新一轮科技革命为郑州教育现代化发展提供新机遇</w:t>
      </w:r>
      <w:bookmarkEnd w:id="4"/>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从全球来看，科技进步日新月异，人工智能、量子信息、脑科学以及一些重大颠覆性技术创新正在引发社会生产生活方式新变革并影响国家在世界上的竞争力，将推动更加智能、泛在和个性化的学习以及优质教育资源共建共享的模式，极大提高劳动效率并改变劳动力市场对技能的需求</w:t>
      </w:r>
      <w:r>
        <w:rPr>
          <w:rFonts w:ascii="仿宋_GB2312" w:hAnsi="仿宋" w:eastAsia="楷体_GB2312" w:cs="Times New Roman"/>
          <w:sz w:val="28"/>
          <w:szCs w:val="32"/>
          <w:vertAlign w:val="superscript"/>
        </w:rPr>
        <w:footnoteReference w:id="5"/>
      </w:r>
      <w:r>
        <w:rPr>
          <w:rFonts w:hint="eastAsia" w:ascii="仿宋_GB2312" w:hAnsi="仿宋" w:eastAsia="仿宋_GB2312" w:cs="Times New Roman"/>
          <w:sz w:val="32"/>
          <w:szCs w:val="32"/>
        </w:rPr>
        <w:t>，创造人类教育与学习的新空间。抓住新一轮全球科技革命，持续加强新科技在教育中的广泛深度应用，有效转变人才培养模式，大力提高师生信息素养，大幅提高学习、管理与评价的效能，为郑州教育注入智慧、动力和活力，是郑州推进教育现代化发展的新机遇。</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5" w:name="_Toc6988010"/>
      <w:bookmarkStart w:id="6" w:name="_Toc14548"/>
      <w:r>
        <w:rPr>
          <w:rFonts w:hint="eastAsia" w:ascii="楷体_GB2312" w:hAnsi="Calibri Light" w:eastAsia="楷体_GB2312" w:cs="Times New Roman"/>
          <w:b/>
          <w:bCs/>
          <w:kern w:val="0"/>
          <w:sz w:val="32"/>
          <w:szCs w:val="32"/>
        </w:rPr>
        <w:t>（三）城市社会发展新变化和人民群众美好生活向往对郑州教育现代化发展提出新要求</w:t>
      </w:r>
      <w:bookmarkEnd w:id="5"/>
      <w:bookmarkEnd w:id="6"/>
    </w:p>
    <w:p>
      <w:pPr>
        <w:spacing w:line="600" w:lineRule="exact"/>
        <w:ind w:firstLine="640" w:firstLineChars="200"/>
        <w:rPr>
          <w:rFonts w:ascii="仿宋_GB2312" w:hAnsi="仿宋" w:eastAsia="仿宋_GB2312" w:cs="Times New Roman"/>
          <w:sz w:val="32"/>
          <w:szCs w:val="32"/>
        </w:rPr>
      </w:pPr>
      <w:r>
        <w:rPr>
          <w:rFonts w:ascii="Times New Roman" w:hAnsi="Times New Roman" w:eastAsia="仿宋_GB2312" w:cs="Times New Roman"/>
          <w:sz w:val="32"/>
          <w:szCs w:val="32"/>
        </w:rPr>
        <w:t>面对郑州城市化进程加快</w:t>
      </w:r>
      <w:r>
        <w:rPr>
          <w:rFonts w:hint="eastAsia" w:ascii="Times New Roman" w:hAnsi="Times New Roman" w:eastAsia="仿宋_GB2312" w:cs="Times New Roman"/>
          <w:sz w:val="32"/>
          <w:szCs w:val="32"/>
        </w:rPr>
        <w:t>、人口导入与结构变化</w:t>
      </w:r>
      <w:r>
        <w:rPr>
          <w:rFonts w:ascii="Times New Roman" w:hAnsi="Times New Roman" w:eastAsia="仿宋_GB2312" w:cs="Times New Roman"/>
          <w:sz w:val="32"/>
          <w:szCs w:val="32"/>
          <w:vertAlign w:val="superscript"/>
        </w:rPr>
        <w:footnoteReference w:id="6"/>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市民美好生活需求全面提升的新形势，郑州教育尚未完全适应新时代</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发展和广大人民群众的新要求新期望。主要表现在：随着城市人口特别是学龄人口及老龄人口增长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教育公共服务供给不平衡不充分问题仍然存在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学生德智体美劳</w:t>
      </w:r>
      <w:r>
        <w:rPr>
          <w:rFonts w:hint="eastAsia" w:ascii="Times New Roman" w:hAnsi="Times New Roman" w:eastAsia="仿宋_GB2312" w:cs="Times New Roman"/>
          <w:sz w:val="32"/>
          <w:szCs w:val="32"/>
        </w:rPr>
        <w:t>五育</w:t>
      </w:r>
      <w:r>
        <w:rPr>
          <w:rFonts w:ascii="Times New Roman" w:hAnsi="Times New Roman" w:eastAsia="仿宋_GB2312" w:cs="Times New Roman"/>
          <w:sz w:val="32"/>
          <w:szCs w:val="32"/>
        </w:rPr>
        <w:t>融合体系亟待建立</w:t>
      </w:r>
      <w:r>
        <w:rPr>
          <w:rFonts w:hint="eastAsia" w:ascii="Times New Roman" w:hAnsi="Times New Roman" w:eastAsia="仿宋_GB2312" w:cs="Times New Roman"/>
          <w:sz w:val="32"/>
          <w:szCs w:val="32"/>
        </w:rPr>
        <w:t>，教育</w:t>
      </w:r>
      <w:r>
        <w:rPr>
          <w:rFonts w:ascii="Times New Roman" w:hAnsi="Times New Roman" w:eastAsia="仿宋_GB2312" w:cs="Times New Roman"/>
          <w:sz w:val="32"/>
          <w:szCs w:val="32"/>
        </w:rPr>
        <w:t>评价和教育质量保障体系显得</w:t>
      </w:r>
      <w:r>
        <w:rPr>
          <w:rFonts w:hint="eastAsia" w:ascii="Times New Roman" w:hAnsi="Times New Roman" w:eastAsia="仿宋_GB2312" w:cs="Times New Roman"/>
          <w:sz w:val="32"/>
          <w:szCs w:val="32"/>
        </w:rPr>
        <w:t>不够</w:t>
      </w:r>
      <w:r>
        <w:rPr>
          <w:rFonts w:ascii="Times New Roman" w:hAnsi="Times New Roman" w:eastAsia="仿宋_GB2312" w:cs="Times New Roman"/>
          <w:sz w:val="32"/>
          <w:szCs w:val="32"/>
        </w:rPr>
        <w:t>健全</w:t>
      </w:r>
      <w:r>
        <w:rPr>
          <w:rFonts w:hint="eastAsia" w:ascii="Times New Roman" w:hAnsi="Times New Roman" w:eastAsia="仿宋_GB2312" w:cs="Times New Roman"/>
          <w:sz w:val="32"/>
          <w:szCs w:val="32"/>
        </w:rPr>
        <w:t>；学前教育普及普惠、义务教育优质均衡、高中教育分层分类相结合</w:t>
      </w:r>
      <w:r>
        <w:rPr>
          <w:rFonts w:ascii="Times New Roman" w:hAnsi="Times New Roman" w:eastAsia="仿宋_GB2312" w:cs="Times New Roman"/>
          <w:sz w:val="32"/>
          <w:szCs w:val="32"/>
        </w:rPr>
        <w:t>的格局尚未形成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职业教育和高等教育发展</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城市产业</w:t>
      </w:r>
      <w:r>
        <w:rPr>
          <w:rFonts w:hint="eastAsia" w:ascii="Times New Roman" w:hAnsi="Times New Roman" w:eastAsia="仿宋_GB2312" w:cs="Times New Roman"/>
          <w:sz w:val="32"/>
          <w:szCs w:val="32"/>
        </w:rPr>
        <w:t>布局、</w:t>
      </w:r>
      <w:r>
        <w:rPr>
          <w:rFonts w:ascii="Times New Roman" w:hAnsi="Times New Roman" w:eastAsia="仿宋_GB2312" w:cs="Times New Roman"/>
          <w:sz w:val="32"/>
          <w:szCs w:val="32"/>
        </w:rPr>
        <w:t>发展定位还不完全匹配</w:t>
      </w:r>
      <w:r>
        <w:rPr>
          <w:rFonts w:ascii="仿宋_GB2312" w:hAnsi="仿宋" w:eastAsia="楷体_GB2312" w:cs="Times New Roman"/>
          <w:sz w:val="28"/>
          <w:szCs w:val="32"/>
          <w:vertAlign w:val="superscript"/>
        </w:rPr>
        <w:footnoteReference w:id="7"/>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教师育德育人能力有待加强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高水平师资人才</w:t>
      </w:r>
      <w:r>
        <w:rPr>
          <w:rFonts w:hint="eastAsia" w:ascii="Times New Roman" w:hAnsi="Times New Roman" w:eastAsia="仿宋_GB2312" w:cs="Times New Roman"/>
          <w:sz w:val="32"/>
          <w:szCs w:val="32"/>
        </w:rPr>
        <w:t>吸引力</w:t>
      </w:r>
      <w:r>
        <w:rPr>
          <w:rFonts w:ascii="Times New Roman" w:hAnsi="Times New Roman" w:eastAsia="仿宋_GB2312" w:cs="Times New Roman"/>
          <w:sz w:val="32"/>
          <w:szCs w:val="32"/>
        </w:rPr>
        <w:t>需要进一步提升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教育开放力度需要进一步加大</w:t>
      </w:r>
      <w:r>
        <w:rPr>
          <w:rFonts w:ascii="仿宋_GB2312" w:hAnsi="仿宋" w:eastAsia="楷体_GB2312" w:cs="Times New Roman"/>
          <w:sz w:val="28"/>
          <w:szCs w:val="32"/>
          <w:vertAlign w:val="superscript"/>
        </w:rPr>
        <w:footnoteReference w:id="8"/>
      </w:r>
      <w:r>
        <w:rPr>
          <w:rFonts w:ascii="Times New Roman" w:hAnsi="Times New Roman" w:eastAsia="仿宋_GB2312" w:cs="Times New Roman"/>
          <w:sz w:val="32"/>
          <w:szCs w:val="32"/>
        </w:rPr>
        <w:t>，教育发展在国际上的影响力</w:t>
      </w:r>
      <w:r>
        <w:rPr>
          <w:rFonts w:hint="eastAsia" w:ascii="Times New Roman" w:hAnsi="Times New Roman" w:eastAsia="仿宋_GB2312" w:cs="Times New Roman"/>
          <w:sz w:val="32"/>
          <w:szCs w:val="32"/>
        </w:rPr>
        <w:t>有待提升；</w:t>
      </w:r>
      <w:r>
        <w:rPr>
          <w:rFonts w:ascii="Times New Roman" w:hAnsi="Times New Roman" w:eastAsia="仿宋_GB2312" w:cs="Times New Roman"/>
          <w:sz w:val="32"/>
          <w:szCs w:val="32"/>
        </w:rPr>
        <w:t>教育治理和社会力量参与机制有待健全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教育智库建设</w:t>
      </w:r>
      <w:r>
        <w:rPr>
          <w:rFonts w:ascii="仿宋_GB2312" w:hAnsi="仿宋" w:eastAsia="仿宋_GB2312" w:cs="Times New Roman"/>
          <w:sz w:val="32"/>
          <w:szCs w:val="32"/>
        </w:rPr>
        <w:t>迫切需要加强</w:t>
      </w:r>
      <w:r>
        <w:rPr>
          <w:rFonts w:ascii="仿宋_GB2312" w:hAnsi="仿宋" w:eastAsia="楷体_GB2312" w:cs="Times New Roman"/>
          <w:sz w:val="28"/>
          <w:szCs w:val="32"/>
          <w:vertAlign w:val="superscript"/>
        </w:rPr>
        <w:footnoteReference w:id="9"/>
      </w:r>
      <w:r>
        <w:rPr>
          <w:rFonts w:hint="eastAsia" w:ascii="仿宋_GB2312" w:hAnsi="仿宋" w:eastAsia="仿宋_GB2312" w:cs="Times New Roman"/>
          <w:sz w:val="32"/>
          <w:szCs w:val="32"/>
        </w:rPr>
        <w:t>；</w:t>
      </w:r>
      <w:r>
        <w:rPr>
          <w:rFonts w:ascii="仿宋_GB2312" w:hAnsi="仿宋" w:eastAsia="仿宋_GB2312" w:cs="Times New Roman"/>
          <w:sz w:val="32"/>
          <w:szCs w:val="32"/>
        </w:rPr>
        <w:t>人力资源发展水平及教育科技创新贡献力需要加快提升，教育引领支撑经济社会发展的能力亟待增强。</w:t>
      </w:r>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谱写新时代郑州发展新局面</w:t>
      </w:r>
      <w:r>
        <w:rPr>
          <w:rFonts w:hint="eastAsia" w:ascii="仿宋_GB2312" w:hAnsi="仿宋" w:eastAsia="仿宋_GB2312" w:cs="Times New Roman"/>
          <w:sz w:val="32"/>
          <w:szCs w:val="32"/>
        </w:rPr>
        <w:t>、</w:t>
      </w:r>
      <w:r>
        <w:rPr>
          <w:rFonts w:ascii="仿宋_GB2312" w:hAnsi="仿宋" w:eastAsia="仿宋_GB2312" w:cs="Times New Roman"/>
          <w:sz w:val="32"/>
          <w:szCs w:val="32"/>
        </w:rPr>
        <w:t>中原更加出彩新篇章</w:t>
      </w:r>
      <w:r>
        <w:rPr>
          <w:rFonts w:hint="eastAsia" w:ascii="仿宋_GB2312" w:hAnsi="仿宋" w:eastAsia="仿宋_GB2312" w:cs="Times New Roman"/>
          <w:sz w:val="32"/>
          <w:szCs w:val="32"/>
        </w:rPr>
        <w:t>，</w:t>
      </w:r>
      <w:r>
        <w:rPr>
          <w:rFonts w:ascii="仿宋_GB2312" w:hAnsi="仿宋" w:eastAsia="仿宋_GB2312" w:cs="Times New Roman"/>
          <w:sz w:val="32"/>
          <w:szCs w:val="32"/>
        </w:rPr>
        <w:t>郑州教育亟需对照国家中心城市建设要求</w:t>
      </w:r>
      <w:r>
        <w:rPr>
          <w:rFonts w:hint="eastAsia" w:ascii="仿宋_GB2312" w:hAnsi="仿宋" w:eastAsia="仿宋_GB2312" w:cs="Times New Roman"/>
          <w:sz w:val="32"/>
          <w:szCs w:val="32"/>
        </w:rPr>
        <w:t>，</w:t>
      </w:r>
      <w:r>
        <w:rPr>
          <w:rFonts w:ascii="仿宋_GB2312" w:hAnsi="仿宋" w:eastAsia="仿宋_GB2312" w:cs="Times New Roman"/>
          <w:sz w:val="32"/>
          <w:szCs w:val="32"/>
        </w:rPr>
        <w:t>对标</w:t>
      </w:r>
      <w:r>
        <w:rPr>
          <w:rFonts w:hint="eastAsia" w:ascii="仿宋_GB2312" w:hAnsi="仿宋" w:eastAsia="仿宋_GB2312" w:cs="Times New Roman"/>
          <w:sz w:val="32"/>
          <w:szCs w:val="32"/>
        </w:rPr>
        <w:t>国家</w:t>
      </w:r>
      <w:r>
        <w:rPr>
          <w:rFonts w:ascii="仿宋_GB2312" w:hAnsi="仿宋" w:eastAsia="仿宋_GB2312" w:cs="Times New Roman"/>
          <w:sz w:val="32"/>
          <w:szCs w:val="32"/>
        </w:rPr>
        <w:t>中心城市一流教育标准</w:t>
      </w:r>
      <w:r>
        <w:rPr>
          <w:rFonts w:hint="eastAsia" w:ascii="仿宋_GB2312" w:hAnsi="仿宋" w:eastAsia="仿宋_GB2312" w:cs="Times New Roman"/>
          <w:sz w:val="32"/>
          <w:szCs w:val="32"/>
        </w:rPr>
        <w:t>和</w:t>
      </w:r>
      <w:r>
        <w:rPr>
          <w:rFonts w:ascii="仿宋_GB2312" w:hAnsi="仿宋" w:eastAsia="仿宋_GB2312" w:cs="Times New Roman"/>
          <w:sz w:val="32"/>
          <w:szCs w:val="32"/>
        </w:rPr>
        <w:t>水平</w:t>
      </w:r>
      <w:r>
        <w:rPr>
          <w:rFonts w:hint="eastAsia" w:ascii="仿宋_GB2312" w:hAnsi="仿宋" w:eastAsia="仿宋_GB2312" w:cs="Times New Roman"/>
          <w:sz w:val="32"/>
          <w:szCs w:val="32"/>
        </w:rPr>
        <w:t>，以更高的历史站位和更广的战略视野，科学谋划和加快推进教育现代化发展。</w:t>
      </w:r>
    </w:p>
    <w:p>
      <w:pPr>
        <w:keepNext/>
        <w:keepLines/>
        <w:spacing w:beforeLines="100" w:afterLines="100" w:line="600" w:lineRule="exact"/>
        <w:ind w:firstLine="643" w:firstLineChars="200"/>
        <w:outlineLvl w:val="1"/>
        <w:rPr>
          <w:rFonts w:ascii="黑体" w:hAnsi="黑体" w:eastAsia="黑体" w:cs="Times New Roman"/>
          <w:b/>
          <w:bCs/>
          <w:kern w:val="0"/>
          <w:sz w:val="32"/>
          <w:szCs w:val="32"/>
        </w:rPr>
      </w:pPr>
      <w:bookmarkStart w:id="7" w:name="_Toc1027619"/>
      <w:bookmarkStart w:id="8" w:name="_Toc14970"/>
      <w:r>
        <w:rPr>
          <w:rFonts w:hint="eastAsia" w:ascii="黑体" w:hAnsi="黑体" w:eastAsia="黑体" w:cs="Times New Roman"/>
          <w:b/>
          <w:bCs/>
          <w:kern w:val="0"/>
          <w:sz w:val="32"/>
          <w:szCs w:val="32"/>
        </w:rPr>
        <w:t>二、总体思路</w:t>
      </w:r>
      <w:bookmarkEnd w:id="7"/>
      <w:bookmarkEnd w:id="8"/>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9" w:name="_Toc1027620"/>
      <w:bookmarkStart w:id="10" w:name="_Toc11589"/>
      <w:r>
        <w:rPr>
          <w:rFonts w:hint="eastAsia" w:ascii="楷体_GB2312" w:hAnsi="Calibri Light" w:eastAsia="楷体_GB2312" w:cs="Times New Roman"/>
          <w:b/>
          <w:bCs/>
          <w:kern w:val="0"/>
          <w:sz w:val="32"/>
          <w:szCs w:val="32"/>
        </w:rPr>
        <w:t>（一）指导思想</w:t>
      </w:r>
      <w:bookmarkEnd w:id="9"/>
      <w:bookmarkEnd w:id="10"/>
    </w:p>
    <w:p>
      <w:pPr>
        <w:spacing w:line="600" w:lineRule="exact"/>
        <w:ind w:firstLine="640" w:firstLineChars="200"/>
        <w:rPr>
          <w:rFonts w:ascii="仿宋_GB2312" w:hAnsi="仿宋"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以习近平新时代中国特色社会主义思想为指导，全面贯彻</w:t>
      </w:r>
      <w:r>
        <w:rPr>
          <w:rFonts w:ascii="Times New Roman" w:hAnsi="Times New Roman" w:eastAsia="仿宋_GB2312" w:cs="Times New Roman"/>
          <w:sz w:val="32"/>
          <w:szCs w:val="32"/>
        </w:rPr>
        <w:t>党的十九大和十九届二中、三中、四中</w:t>
      </w:r>
      <w:r>
        <w:rPr>
          <w:rFonts w:hint="eastAsia" w:ascii="Times New Roman" w:hAnsi="Times New Roman" w:eastAsia="仿宋_GB2312" w:cs="Times New Roman"/>
          <w:sz w:val="32"/>
          <w:szCs w:val="32"/>
        </w:rPr>
        <w:t>、五中</w:t>
      </w:r>
      <w:r>
        <w:rPr>
          <w:rFonts w:ascii="Times New Roman" w:hAnsi="Times New Roman" w:eastAsia="仿宋_GB2312" w:cs="Times New Roman"/>
          <w:sz w:val="32"/>
          <w:szCs w:val="32"/>
        </w:rPr>
        <w:t>全会精神，围绕统筹推进“五位一体”总体布局和协调推进“四个全面”战略布局，增强“四个意识”，坚定“四个自信”，坚决做到“两个维护”，深入落实全国教育大会和河南教育</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会精神，坚持党对教育事业的全面领导，全面贯彻党的教育方针，</w:t>
      </w:r>
      <w:r>
        <w:rPr>
          <w:rFonts w:hint="eastAsia" w:ascii="Times New Roman" w:hAnsi="Times New Roman" w:eastAsia="仿宋_GB2312" w:cs="Times New Roman"/>
          <w:sz w:val="32"/>
          <w:szCs w:val="32"/>
        </w:rPr>
        <w:t>扎</w:t>
      </w:r>
      <w:r>
        <w:rPr>
          <w:rFonts w:ascii="Times New Roman" w:hAnsi="Times New Roman" w:eastAsia="仿宋_GB2312" w:cs="Times New Roman"/>
          <w:sz w:val="32"/>
          <w:szCs w:val="32"/>
        </w:rPr>
        <w:t>根中国、引领中原，遵循教育规律和人才成长规律，全面推进教育理念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内容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方法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治理现代化</w:t>
      </w:r>
      <w:r>
        <w:rPr>
          <w:rFonts w:hint="eastAsia" w:ascii="Times New Roman" w:hAnsi="Times New Roman" w:eastAsia="仿宋_GB2312" w:cs="Times New Roman"/>
          <w:sz w:val="32"/>
          <w:szCs w:val="32"/>
        </w:rPr>
        <w:t>，全面深化教育综合改革，突破瓶颈、夯实基础、优化结构、调整布局、扩充学位、提升内涵，</w:t>
      </w:r>
      <w:r>
        <w:rPr>
          <w:rFonts w:ascii="Times New Roman" w:hAnsi="Times New Roman" w:eastAsia="仿宋_GB2312" w:cs="Times New Roman"/>
          <w:sz w:val="32"/>
          <w:szCs w:val="32"/>
        </w:rPr>
        <w:t>加快</w:t>
      </w:r>
      <w:r>
        <w:rPr>
          <w:rFonts w:hint="eastAsia" w:ascii="Times New Roman" w:hAnsi="Times New Roman" w:eastAsia="仿宋_GB2312" w:cs="Times New Roman"/>
          <w:sz w:val="32"/>
          <w:szCs w:val="32"/>
        </w:rPr>
        <w:t>推进更高水平、更高质量的教育现代化，培养德智体美劳全面发展的社会主义建设</w:t>
      </w:r>
      <w:r>
        <w:rPr>
          <w:rFonts w:hint="eastAsia" w:ascii="仿宋_GB2312" w:hAnsi="仿宋" w:eastAsia="仿宋_GB2312" w:cs="Times New Roman"/>
          <w:sz w:val="32"/>
          <w:szCs w:val="32"/>
        </w:rPr>
        <w:t>者和接班人，办好学生健康成长、教师职业幸福、人民满意的美好教育，满足人民群众对美好教育的新期盼，</w:t>
      </w:r>
      <w:r>
        <w:rPr>
          <w:rFonts w:ascii="仿宋_GB2312" w:hAnsi="仿宋" w:eastAsia="仿宋_GB2312" w:cs="Times New Roman"/>
          <w:sz w:val="32"/>
          <w:szCs w:val="32"/>
        </w:rPr>
        <w:t>为郑州建设国家中心城市</w:t>
      </w:r>
      <w:r>
        <w:rPr>
          <w:rFonts w:hint="eastAsia" w:ascii="仿宋_GB2312" w:hAnsi="仿宋" w:eastAsia="仿宋_GB2312" w:cs="Times New Roman"/>
          <w:sz w:val="32"/>
          <w:szCs w:val="32"/>
        </w:rPr>
        <w:t>、建成富强民主文明和谐美丽的社会主义现代化强市</w:t>
      </w:r>
      <w:r>
        <w:rPr>
          <w:rFonts w:ascii="仿宋_GB2312" w:hAnsi="仿宋" w:eastAsia="仿宋_GB2312" w:cs="Times New Roman"/>
          <w:sz w:val="32"/>
          <w:szCs w:val="32"/>
        </w:rPr>
        <w:t>和黄河流域生态保护和高质量发展核心示范区</w:t>
      </w:r>
      <w:r>
        <w:rPr>
          <w:rFonts w:hint="eastAsia" w:ascii="仿宋_GB2312" w:hAnsi="仿宋" w:eastAsia="仿宋_GB2312" w:cs="Times New Roman"/>
          <w:sz w:val="32"/>
          <w:szCs w:val="32"/>
        </w:rPr>
        <w:t>、促进国家中部地区崛起和中原城市群发展提供有力支撑，为我国建</w:t>
      </w:r>
      <w:r>
        <w:rPr>
          <w:rFonts w:ascii="仿宋_GB2312" w:hAnsi="仿宋" w:eastAsia="仿宋_GB2312" w:cs="Times New Roman"/>
          <w:sz w:val="32"/>
          <w:szCs w:val="32"/>
        </w:rPr>
        <w:t>成</w:t>
      </w:r>
      <w:r>
        <w:rPr>
          <w:rFonts w:hint="eastAsia" w:ascii="仿宋_GB2312" w:hAnsi="仿宋" w:eastAsia="仿宋_GB2312" w:cs="Times New Roman"/>
          <w:sz w:val="32"/>
          <w:szCs w:val="32"/>
        </w:rPr>
        <w:t>教育强国、基本实现社会主义现代化</w:t>
      </w:r>
      <w:r>
        <w:rPr>
          <w:rFonts w:ascii="仿宋_GB2312" w:hAnsi="仿宋" w:eastAsia="仿宋_GB2312" w:cs="Times New Roman"/>
          <w:sz w:val="32"/>
          <w:szCs w:val="32"/>
        </w:rPr>
        <w:t>作出重要贡献</w:t>
      </w:r>
      <w:r>
        <w:rPr>
          <w:rFonts w:hint="eastAsia" w:ascii="仿宋_GB2312" w:hAnsi="仿宋" w:eastAsia="仿宋_GB2312" w:cs="Times New Roman"/>
          <w:sz w:val="32"/>
          <w:szCs w:val="32"/>
        </w:rPr>
        <w:t>。</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11" w:name="_Toc1027621"/>
      <w:bookmarkStart w:id="12" w:name="_Toc26012"/>
      <w:r>
        <w:rPr>
          <w:rFonts w:hint="eastAsia" w:ascii="楷体_GB2312" w:hAnsi="Calibri Light" w:eastAsia="楷体_GB2312" w:cs="Times New Roman"/>
          <w:b/>
          <w:bCs/>
          <w:kern w:val="0"/>
          <w:sz w:val="32"/>
          <w:szCs w:val="32"/>
        </w:rPr>
        <w:t>（二）基本原则</w:t>
      </w:r>
      <w:bookmarkEnd w:id="11"/>
      <w:bookmarkEnd w:id="12"/>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坚持党的领导，注重立德树人。</w:t>
      </w:r>
      <w:r>
        <w:rPr>
          <w:rFonts w:ascii="Times New Roman" w:hAnsi="Times New Roman" w:eastAsia="仿宋_GB2312" w:cs="Times New Roman"/>
          <w:sz w:val="32"/>
          <w:szCs w:val="32"/>
        </w:rPr>
        <w:t>把习近平新时代中国特色社会主义思想贯穿于郑州全面推进教育现代化全过程，坚持党对教育工作的全面领导，牢牢把握教育领域意识形态工作的领导权，使教育领域成为坚持党的领导的坚强阵地。坚持以人为本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人的现代化为核心</w:t>
      </w:r>
      <w:r>
        <w:rPr>
          <w:rFonts w:hint="eastAsia" w:ascii="Times New Roman" w:hAnsi="Times New Roman" w:eastAsia="仿宋_GB2312" w:cs="Times New Roman"/>
          <w:sz w:val="32"/>
          <w:szCs w:val="32"/>
        </w:rPr>
        <w:t>，顺应人民群众对美好生活的向往，把准社会关注、群众关切的教育热点难点堵点问题进行突破，</w:t>
      </w:r>
      <w:r>
        <w:rPr>
          <w:rFonts w:ascii="Times New Roman" w:hAnsi="Times New Roman" w:eastAsia="仿宋_GB2312" w:cs="Times New Roman"/>
          <w:sz w:val="32"/>
          <w:szCs w:val="32"/>
        </w:rPr>
        <w:t>坚持中国特色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社会主义办学正确政治方向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落实立德树人根本任务，努力培养具有中国情怀、郑州城市精神、全球视野的</w:t>
      </w:r>
      <w:r>
        <w:rPr>
          <w:rFonts w:hint="eastAsia" w:ascii="Times New Roman" w:hAnsi="Times New Roman" w:eastAsia="仿宋_GB2312" w:cs="Times New Roman"/>
          <w:sz w:val="32"/>
          <w:szCs w:val="32"/>
        </w:rPr>
        <w:t>时代</w:t>
      </w:r>
      <w:r>
        <w:rPr>
          <w:rFonts w:ascii="Times New Roman" w:hAnsi="Times New Roman" w:eastAsia="仿宋_GB2312" w:cs="Times New Roman"/>
          <w:sz w:val="32"/>
          <w:szCs w:val="32"/>
        </w:rPr>
        <w:t>新人。</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坚持优先发展，注重内涵提升。</w:t>
      </w:r>
      <w:r>
        <w:rPr>
          <w:rFonts w:hint="eastAsia" w:ascii="Times New Roman" w:hAnsi="Times New Roman" w:eastAsia="仿宋_GB2312" w:cs="Times New Roman"/>
          <w:sz w:val="32"/>
          <w:szCs w:val="32"/>
        </w:rPr>
        <w:t>坚持把教育事业放在全局工作的优先位置，把人才资源作为第一资源，在郑州城市总体规划中优先安排教育发展，财政资金优先保障教育投入，公共资源优先满足教育和人力资源开发需要。系统研究和谋划部署教育内涵发展，</w:t>
      </w:r>
      <w:r>
        <w:rPr>
          <w:rFonts w:ascii="Times New Roman" w:hAnsi="Times New Roman" w:eastAsia="仿宋_GB2312" w:cs="Times New Roman"/>
          <w:sz w:val="32"/>
          <w:szCs w:val="32"/>
        </w:rPr>
        <w:t>坚持</w:t>
      </w:r>
      <w:r>
        <w:rPr>
          <w:rFonts w:hint="eastAsia" w:ascii="Times New Roman" w:hAnsi="Times New Roman" w:eastAsia="仿宋_GB2312" w:cs="Times New Roman"/>
          <w:sz w:val="32"/>
          <w:szCs w:val="32"/>
        </w:rPr>
        <w:t>总体设计、有序推进和督促落实的思路，着力突破人才培养模式、办学体制、管理体制及保障机制，努力满足经济社会发展和人民群众对教育高质量发展的新需求。</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坚持开放创新，注重活力激发。</w:t>
      </w:r>
      <w:r>
        <w:rPr>
          <w:rFonts w:hint="eastAsia" w:ascii="Times New Roman" w:hAnsi="Times New Roman" w:eastAsia="仿宋_GB2312" w:cs="Times New Roman"/>
          <w:sz w:val="32"/>
          <w:szCs w:val="32"/>
        </w:rPr>
        <w:t>以创新精神为引领，以深化改革为动力，以制度创新为重点和突破口，推进人才培养、管理体制、办学体制、教育投入体制机制突破，</w:t>
      </w:r>
      <w:r>
        <w:rPr>
          <w:rFonts w:ascii="Times New Roman" w:hAnsi="Times New Roman" w:eastAsia="仿宋_GB2312" w:cs="Times New Roman"/>
          <w:sz w:val="32"/>
          <w:szCs w:val="32"/>
        </w:rPr>
        <w:t>促进新技术应用，培育教育新形态，探索教育治理新途径，激发教育发展的内生动力和活力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加快教育开放，集聚国内外优质教育资源，深化教育国际交流与合作，积极参与“一带一路”教育行动，推动共享教育改革发展经验。</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坚持统筹协调，注重共建共享。</w:t>
      </w:r>
      <w:r>
        <w:rPr>
          <w:rFonts w:hint="eastAsia" w:ascii="Times New Roman" w:hAnsi="Times New Roman" w:eastAsia="仿宋_GB2312" w:cs="Times New Roman"/>
          <w:sz w:val="32"/>
          <w:szCs w:val="32"/>
        </w:rPr>
        <w:t>围绕国家中心城市建设、中部地区崛起、中原城市群发展、黄河流域生态保护和高质量发展战略，统筹教育与经济社会发展，争取中央、国家和河南省有关部门对郑州教育的指导与支持。坚持市委、市政府统筹领导，</w:t>
      </w:r>
      <w:r>
        <w:rPr>
          <w:rFonts w:ascii="Times New Roman" w:hAnsi="Times New Roman" w:eastAsia="仿宋_GB2312" w:cs="Times New Roman"/>
          <w:sz w:val="32"/>
          <w:szCs w:val="32"/>
        </w:rPr>
        <w:t>各部门、各区（县）协同推进，</w:t>
      </w:r>
      <w:r>
        <w:rPr>
          <w:rFonts w:hint="eastAsia" w:ascii="Times New Roman" w:hAnsi="Times New Roman" w:eastAsia="仿宋_GB2312" w:cs="Times New Roman"/>
          <w:sz w:val="32"/>
          <w:szCs w:val="32"/>
        </w:rPr>
        <w:t>统筹全市各级各类教育资源配置，</w:t>
      </w:r>
      <w:r>
        <w:rPr>
          <w:rFonts w:ascii="Times New Roman" w:hAnsi="Times New Roman" w:eastAsia="仿宋_GB2312" w:cs="Times New Roman"/>
          <w:sz w:val="32"/>
          <w:szCs w:val="32"/>
        </w:rPr>
        <w:t>形成各级各类教育协调发展的新格局</w:t>
      </w:r>
      <w:r>
        <w:rPr>
          <w:rFonts w:hint="eastAsia" w:ascii="Times New Roman" w:hAnsi="Times New Roman" w:eastAsia="仿宋_GB2312" w:cs="Times New Roman"/>
          <w:sz w:val="32"/>
          <w:szCs w:val="32"/>
        </w:rPr>
        <w:t>，形成社会多方参与和支持教育发展的良好生态环境。</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13" w:name="_Toc25248"/>
      <w:r>
        <w:rPr>
          <w:rFonts w:hint="eastAsia" w:ascii="楷体_GB2312" w:hAnsi="Calibri Light" w:eastAsia="楷体_GB2312" w:cs="Times New Roman"/>
          <w:b/>
          <w:bCs/>
          <w:kern w:val="0"/>
          <w:sz w:val="32"/>
          <w:szCs w:val="32"/>
        </w:rPr>
        <w:t>（三）战略定位</w:t>
      </w:r>
      <w:bookmarkEnd w:id="13"/>
    </w:p>
    <w:p>
      <w:pPr>
        <w:widowControl/>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向未来，郑州要牢固树立和贯彻落实新发展理念，推进具有郑州特色的教育现代化，承担起中西部地区教育现代化发展引领区、发达城市教育改革创新先行区、内陆地区教育对外开放示范区和教育服务城市创新驱动发展新高地的重大使命。</w:t>
      </w:r>
    </w:p>
    <w:p>
      <w:pPr>
        <w:widowControl/>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1．中西部地区教育现代化引领区</w:t>
      </w:r>
    </w:p>
    <w:p>
      <w:pPr>
        <w:widowControl/>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发挥郑州作为国家中心城市对中西部地区教育现代化建设的牵动作用。郑州在各级各类教育高质量发展理念、发展素质教育</w:t>
      </w:r>
      <w:r>
        <w:rPr>
          <w:rFonts w:ascii="Times New Roman" w:hAnsi="Times New Roman" w:eastAsia="楷体_GB2312" w:cs="Times New Roman"/>
          <w:sz w:val="28"/>
          <w:szCs w:val="32"/>
          <w:vertAlign w:val="superscript"/>
        </w:rPr>
        <w:footnoteReference w:id="10"/>
      </w:r>
      <w:r>
        <w:rPr>
          <w:rFonts w:hint="eastAsia" w:ascii="Times New Roman" w:hAnsi="Times New Roman" w:eastAsia="仿宋_GB2312" w:cs="Times New Roman"/>
          <w:sz w:val="32"/>
          <w:szCs w:val="32"/>
        </w:rPr>
        <w:t>、营造学校主动发展制度环境</w:t>
      </w:r>
      <w:r>
        <w:rPr>
          <w:rFonts w:ascii="Times New Roman" w:hAnsi="Times New Roman" w:eastAsia="楷体_GB2312" w:cs="Times New Roman"/>
          <w:sz w:val="28"/>
          <w:szCs w:val="32"/>
          <w:vertAlign w:val="superscript"/>
        </w:rPr>
        <w:footnoteReference w:id="11"/>
      </w:r>
      <w:r>
        <w:rPr>
          <w:rFonts w:hint="eastAsia" w:ascii="Times New Roman" w:hAnsi="Times New Roman" w:eastAsia="仿宋_GB2312" w:cs="Times New Roman"/>
          <w:sz w:val="32"/>
          <w:szCs w:val="32"/>
        </w:rPr>
        <w:t>、终身学习体系建设、教育人才队伍建设、教育投入水平、教育信息化应用、教育国际化、教育治理能力现代化等方面保持较高领先优势，发挥强大的带动能级辐射作用，全方位引领带动中西部地区率先实现教育现代化。</w:t>
      </w:r>
      <w:r>
        <w:rPr>
          <w:rFonts w:ascii="Times New Roman" w:hAnsi="Times New Roman" w:eastAsia="仿宋_GB2312" w:cs="Times New Roman"/>
          <w:sz w:val="32"/>
          <w:szCs w:val="32"/>
        </w:rPr>
        <w:t xml:space="preserve"> </w:t>
      </w:r>
    </w:p>
    <w:p>
      <w:pPr>
        <w:widowControl/>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2．发达城市教育改革创新先行区</w:t>
      </w:r>
    </w:p>
    <w:p>
      <w:pPr>
        <w:widowControl/>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积极争取中西部教育现代化区域</w:t>
      </w:r>
      <w:r>
        <w:rPr>
          <w:rFonts w:ascii="Times New Roman" w:hAnsi="Times New Roman" w:eastAsia="仿宋_GB2312" w:cs="Times New Roman"/>
          <w:sz w:val="32"/>
          <w:szCs w:val="32"/>
        </w:rPr>
        <w:t>改革</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试点，</w:t>
      </w:r>
      <w:r>
        <w:rPr>
          <w:rFonts w:hint="eastAsia" w:ascii="Times New Roman" w:hAnsi="Times New Roman" w:eastAsia="仿宋_GB2312" w:cs="Times New Roman"/>
          <w:sz w:val="32"/>
          <w:szCs w:val="32"/>
        </w:rPr>
        <w:t>探索新型城镇化、乡村振兴战略下推进城乡义务教育一体化和义务教育优质均衡发展新模式，创新</w:t>
      </w:r>
      <w:r>
        <w:rPr>
          <w:rFonts w:ascii="Times New Roman" w:hAnsi="Times New Roman" w:eastAsia="仿宋_GB2312" w:cs="Times New Roman"/>
          <w:sz w:val="32"/>
          <w:szCs w:val="32"/>
        </w:rPr>
        <w:t>更</w:t>
      </w:r>
      <w:r>
        <w:rPr>
          <w:rFonts w:hint="eastAsia" w:ascii="Times New Roman" w:hAnsi="Times New Roman" w:eastAsia="仿宋_GB2312" w:cs="Times New Roman"/>
          <w:sz w:val="32"/>
          <w:szCs w:val="32"/>
        </w:rPr>
        <w:t>科学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人才培养评价制度与特色产业相结合的技术技能人才培养新途径，形成融合传承特色传统文化全面推进素质教育新方式，运用各类创新资源综合集成平台开展创新创业教育新探索，形成全覆盖常住人口的优质教育资源供给新机制，开展新技术大数据深度融合应用教育教学创新试验以及加快</w:t>
      </w:r>
      <w:r>
        <w:rPr>
          <w:rFonts w:ascii="Times New Roman" w:hAnsi="Times New Roman" w:eastAsia="仿宋_GB2312" w:cs="Times New Roman"/>
          <w:sz w:val="32"/>
          <w:szCs w:val="32"/>
        </w:rPr>
        <w:t>教育扶贫</w:t>
      </w:r>
      <w:r>
        <w:rPr>
          <w:rFonts w:hint="eastAsia" w:ascii="Times New Roman" w:hAnsi="Times New Roman" w:eastAsia="仿宋_GB2312" w:cs="Times New Roman"/>
          <w:sz w:val="32"/>
          <w:szCs w:val="32"/>
        </w:rPr>
        <w:t>扶智、探索中原城市群教育一体化发展新机制等方面，</w:t>
      </w:r>
      <w:r>
        <w:rPr>
          <w:rFonts w:ascii="Times New Roman" w:hAnsi="Times New Roman" w:eastAsia="仿宋_GB2312" w:cs="Times New Roman"/>
          <w:sz w:val="32"/>
          <w:szCs w:val="32"/>
        </w:rPr>
        <w:t>形成一批标志性改革探索成果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可借鉴</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经验</w:t>
      </w:r>
      <w:r>
        <w:rPr>
          <w:rFonts w:hint="eastAsia" w:ascii="Times New Roman" w:hAnsi="Times New Roman" w:eastAsia="仿宋_GB2312" w:cs="Times New Roman"/>
          <w:sz w:val="32"/>
          <w:szCs w:val="32"/>
        </w:rPr>
        <w:t>，成为引领中原城市群及发达城市教育改革创新的重要支点。</w:t>
      </w:r>
    </w:p>
    <w:p>
      <w:pPr>
        <w:widowControl/>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3．内陆地区教育对外开放示范区 </w:t>
      </w:r>
      <w:r>
        <w:rPr>
          <w:rFonts w:ascii="Times New Roman" w:hAnsi="Times New Roman" w:eastAsia="仿宋_GB2312" w:cs="Times New Roman"/>
          <w:b/>
          <w:sz w:val="32"/>
          <w:szCs w:val="32"/>
        </w:rPr>
        <w:t xml:space="preserve"> </w:t>
      </w:r>
    </w:p>
    <w:p>
      <w:pPr>
        <w:widowControl/>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在教育对外开放中承担国家内陆地区对外开放门户功能，利用郑州自由贸易区政策，</w:t>
      </w:r>
      <w:r>
        <w:rPr>
          <w:rFonts w:ascii="Times New Roman" w:hAnsi="Times New Roman" w:eastAsia="仿宋_GB2312" w:cs="Times New Roman"/>
          <w:sz w:val="32"/>
          <w:szCs w:val="32"/>
        </w:rPr>
        <w:t>积极引进国外优质教育资源，</w:t>
      </w:r>
      <w:r>
        <w:rPr>
          <w:rFonts w:hint="eastAsia" w:ascii="Times New Roman" w:hAnsi="Times New Roman" w:eastAsia="仿宋_GB2312" w:cs="Times New Roman"/>
          <w:sz w:val="32"/>
          <w:szCs w:val="32"/>
        </w:rPr>
        <w:t>推进推动各类学校与“一带一路”沿线国家合作办学，</w:t>
      </w:r>
      <w:r>
        <w:rPr>
          <w:rFonts w:ascii="Times New Roman" w:hAnsi="Times New Roman" w:eastAsia="仿宋_GB2312" w:cs="Times New Roman"/>
          <w:sz w:val="32"/>
          <w:szCs w:val="32"/>
        </w:rPr>
        <w:t>鼓励中外教师互派、学生互换，</w:t>
      </w:r>
      <w:r>
        <w:rPr>
          <w:rFonts w:hint="eastAsia" w:ascii="Times New Roman" w:hAnsi="Times New Roman" w:eastAsia="仿宋_GB2312" w:cs="Times New Roman"/>
          <w:sz w:val="32"/>
          <w:szCs w:val="32"/>
        </w:rPr>
        <w:t>课程与</w:t>
      </w:r>
      <w:r>
        <w:rPr>
          <w:rFonts w:ascii="Times New Roman" w:hAnsi="Times New Roman" w:eastAsia="仿宋_GB2312" w:cs="Times New Roman"/>
          <w:sz w:val="32"/>
          <w:szCs w:val="32"/>
        </w:rPr>
        <w:t>标准对接</w:t>
      </w:r>
      <w:r>
        <w:rPr>
          <w:rFonts w:hint="eastAsia" w:ascii="Times New Roman" w:hAnsi="Times New Roman" w:eastAsia="仿宋_GB2312" w:cs="Times New Roman"/>
          <w:sz w:val="32"/>
          <w:szCs w:val="32"/>
        </w:rPr>
        <w:t>互认，培训基地共建共享，争做一带一路教育资源要素流动和人才流动枢纽，形成</w:t>
      </w:r>
      <w:r>
        <w:rPr>
          <w:rFonts w:ascii="Times New Roman" w:hAnsi="Times New Roman" w:eastAsia="仿宋_GB2312" w:cs="Times New Roman"/>
          <w:sz w:val="32"/>
          <w:szCs w:val="32"/>
        </w:rPr>
        <w:t>国际化人才</w:t>
      </w:r>
      <w:r>
        <w:rPr>
          <w:rFonts w:hint="eastAsia" w:ascii="Times New Roman" w:hAnsi="Times New Roman" w:eastAsia="仿宋_GB2312" w:cs="Times New Roman"/>
          <w:sz w:val="32"/>
          <w:szCs w:val="32"/>
        </w:rPr>
        <w:t>高水平培养能力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探索新时代具有郑州特色的中外人文交流项目，以新机制新方式吸引集聚高层次留学生和各级各类人才到郑州学习工作生活，打造“留学郑州”品牌，成为具有重要影响力的国际教育交流合作重镇，国家内陆地区教育开放合作示范区。</w:t>
      </w:r>
    </w:p>
    <w:p>
      <w:pPr>
        <w:widowControl/>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4．教育服务城市创新驱动发展新高地 </w:t>
      </w:r>
      <w:r>
        <w:rPr>
          <w:rFonts w:ascii="Times New Roman" w:hAnsi="Times New Roman" w:eastAsia="仿宋_GB2312" w:cs="Times New Roman"/>
          <w:b/>
          <w:sz w:val="32"/>
          <w:szCs w:val="32"/>
        </w:rPr>
        <w:t xml:space="preserve"> </w:t>
      </w:r>
    </w:p>
    <w:p>
      <w:pPr>
        <w:widowControl/>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提升教育服务创新驱动能力，为郑州建设自主创新示范区提供新动能。统筹形成汇聚世界一流知名大学、科研院所、企业等全球高端创新资源，发挥教育服务创新驱动基础性支撑的新机制新模式。服务电子信息、汽车制造、装备制造、新材料等四大产业集群，形成聚焦生物医药、新材料、人工智能、新能源等新兴产业需要的人才培养和人力资源开发新体系，</w:t>
      </w:r>
      <w:r>
        <w:rPr>
          <w:rFonts w:ascii="Times New Roman" w:hAnsi="Times New Roman" w:eastAsia="仿宋_GB2312" w:cs="Times New Roman"/>
          <w:sz w:val="32"/>
          <w:szCs w:val="32"/>
        </w:rPr>
        <w:t>推进教育与经济、科技、文化等领域融合发展，提升军民融合</w:t>
      </w:r>
      <w:r>
        <w:rPr>
          <w:rFonts w:hint="eastAsia" w:ascii="Times New Roman" w:hAnsi="Times New Roman" w:eastAsia="仿宋_GB2312" w:cs="Times New Roman"/>
          <w:sz w:val="32"/>
          <w:szCs w:val="32"/>
        </w:rPr>
        <w:t>。建立创新创业人才大中小学贯通培养和科教融合产学研协同创新平台同步推进的创新创业人才培养体系。形成科技领军人才、高水平创新团队高层次人才</w:t>
      </w:r>
      <w:r>
        <w:rPr>
          <w:rFonts w:ascii="Times New Roman" w:hAnsi="Times New Roman" w:eastAsia="仿宋_GB2312" w:cs="Times New Roman"/>
          <w:sz w:val="32"/>
          <w:szCs w:val="32"/>
        </w:rPr>
        <w:t>同步引进与培养</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新增劳动力与从业人员素质能力同步提升</w:t>
      </w:r>
      <w:r>
        <w:rPr>
          <w:rFonts w:hint="eastAsia" w:ascii="Times New Roman" w:hAnsi="Times New Roman" w:eastAsia="仿宋_GB2312" w:cs="Times New Roman"/>
          <w:sz w:val="32"/>
          <w:szCs w:val="32"/>
        </w:rPr>
        <w:t>的协同发展新模式。形成教育创新成果开发转化与建设创新创业中心联动共享的特色化推进体系，为郑州迈进国家创新型城市前列打造全方位支撑优势。</w:t>
      </w:r>
    </w:p>
    <w:p>
      <w:pPr>
        <w:keepNext/>
        <w:keepLines/>
        <w:spacing w:beforeLines="100" w:afterLines="100" w:line="600" w:lineRule="exact"/>
        <w:ind w:firstLine="643" w:firstLineChars="200"/>
        <w:outlineLvl w:val="1"/>
        <w:rPr>
          <w:rFonts w:ascii="黑体" w:hAnsi="黑体" w:eastAsia="黑体" w:cs="Times New Roman"/>
          <w:b/>
          <w:bCs/>
          <w:kern w:val="0"/>
          <w:sz w:val="32"/>
          <w:szCs w:val="32"/>
        </w:rPr>
      </w:pPr>
      <w:bookmarkStart w:id="14" w:name="_Toc1027622"/>
      <w:bookmarkStart w:id="15" w:name="_Toc12526"/>
      <w:r>
        <w:rPr>
          <w:rFonts w:hint="eastAsia" w:ascii="黑体" w:hAnsi="黑体" w:eastAsia="黑体" w:cs="Times New Roman"/>
          <w:b/>
          <w:bCs/>
          <w:kern w:val="0"/>
          <w:sz w:val="32"/>
          <w:szCs w:val="32"/>
        </w:rPr>
        <w:t>三、发展目标</w:t>
      </w:r>
      <w:bookmarkEnd w:id="14"/>
      <w:bookmarkEnd w:id="15"/>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16" w:name="_Toc1027623"/>
      <w:bookmarkStart w:id="17" w:name="_Toc4005"/>
      <w:r>
        <w:rPr>
          <w:rFonts w:hint="eastAsia" w:ascii="楷体_GB2312" w:hAnsi="Calibri Light" w:eastAsia="楷体_GB2312" w:cs="Times New Roman"/>
          <w:b/>
          <w:bCs/>
          <w:kern w:val="0"/>
          <w:sz w:val="32"/>
          <w:szCs w:val="32"/>
        </w:rPr>
        <w:t>（一）总体目标</w:t>
      </w:r>
      <w:bookmarkEnd w:id="16"/>
      <w:bookmarkEnd w:id="17"/>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根据国家和河南省教育现代化的战略要求</w:t>
      </w:r>
      <w:r>
        <w:rPr>
          <w:rFonts w:hint="eastAsia" w:ascii="仿宋_GB2312" w:hAnsi="仿宋" w:eastAsia="仿宋_GB2312" w:cs="Times New Roman"/>
          <w:sz w:val="32"/>
          <w:szCs w:val="32"/>
        </w:rPr>
        <w:t>，</w:t>
      </w:r>
      <w:r>
        <w:rPr>
          <w:rFonts w:ascii="仿宋_GB2312" w:hAnsi="仿宋" w:eastAsia="仿宋_GB2312" w:cs="Times New Roman"/>
          <w:sz w:val="32"/>
          <w:szCs w:val="32"/>
        </w:rPr>
        <w:t>对标郑州建设国家中心城市目标愿景</w:t>
      </w:r>
      <w:r>
        <w:rPr>
          <w:rFonts w:hint="eastAsia" w:ascii="仿宋_GB2312" w:hAnsi="仿宋" w:eastAsia="仿宋_GB2312" w:cs="Times New Roman"/>
          <w:sz w:val="32"/>
          <w:szCs w:val="32"/>
        </w:rPr>
        <w:t>，</w:t>
      </w:r>
      <w:r>
        <w:rPr>
          <w:rFonts w:ascii="仿宋_GB2312" w:hAnsi="仿宋" w:eastAsia="仿宋_GB2312" w:cs="Times New Roman"/>
          <w:sz w:val="32"/>
          <w:szCs w:val="32"/>
        </w:rPr>
        <w:t>以高质量建设</w:t>
      </w:r>
      <w:r>
        <w:rPr>
          <w:rFonts w:hint="eastAsia" w:ascii="仿宋_GB2312" w:hAnsi="仿宋" w:eastAsia="仿宋_GB2312" w:cs="Times New Roman"/>
          <w:sz w:val="32"/>
          <w:szCs w:val="32"/>
        </w:rPr>
        <w:t>“美好教育”为引领，着力实现教育现代化“两阶段”战略目标。</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到</w:t>
      </w:r>
      <w:r>
        <w:rPr>
          <w:rFonts w:ascii="仿宋_GB2312" w:hAnsi="仿宋" w:eastAsia="仿宋_GB2312" w:cs="Times New Roman"/>
          <w:sz w:val="32"/>
          <w:szCs w:val="32"/>
        </w:rPr>
        <w:t>2020年，全面实现“十三五”发展目标，</w:t>
      </w:r>
      <w:r>
        <w:rPr>
          <w:rFonts w:hint="eastAsia" w:ascii="仿宋_GB2312" w:hAnsi="仿宋" w:eastAsia="仿宋_GB2312" w:cs="Times New Roman"/>
          <w:sz w:val="32"/>
          <w:szCs w:val="32"/>
        </w:rPr>
        <w:t>教育发展更加公平，</w:t>
      </w:r>
      <w:r>
        <w:rPr>
          <w:rFonts w:ascii="仿宋_GB2312" w:hAnsi="仿宋" w:eastAsia="仿宋_GB2312" w:cs="Times New Roman"/>
          <w:sz w:val="32"/>
          <w:szCs w:val="32"/>
        </w:rPr>
        <w:t>教育质量</w:t>
      </w:r>
      <w:r>
        <w:rPr>
          <w:rFonts w:hint="eastAsia" w:ascii="仿宋_GB2312" w:hAnsi="仿宋" w:eastAsia="仿宋_GB2312" w:cs="Times New Roman"/>
          <w:sz w:val="32"/>
          <w:szCs w:val="32"/>
        </w:rPr>
        <w:t>更加优质</w:t>
      </w:r>
      <w:r>
        <w:rPr>
          <w:rFonts w:ascii="仿宋_GB2312" w:hAnsi="仿宋" w:eastAsia="仿宋_GB2312" w:cs="Times New Roman"/>
          <w:sz w:val="32"/>
          <w:szCs w:val="32"/>
        </w:rPr>
        <w:t>，教育结构更加优化，</w:t>
      </w:r>
      <w:r>
        <w:rPr>
          <w:rFonts w:hint="eastAsia" w:ascii="仿宋_GB2312" w:hAnsi="仿宋" w:eastAsia="仿宋_GB2312" w:cs="Times New Roman"/>
          <w:sz w:val="32"/>
          <w:szCs w:val="32"/>
        </w:rPr>
        <w:t>教育体系更加健全，</w:t>
      </w:r>
      <w:r>
        <w:rPr>
          <w:rFonts w:ascii="仿宋_GB2312" w:hAnsi="仿宋" w:eastAsia="仿宋_GB2312" w:cs="Times New Roman"/>
          <w:sz w:val="32"/>
          <w:szCs w:val="32"/>
        </w:rPr>
        <w:t>部分教育指标保持领先，教育现代化进展领先中西部地区</w:t>
      </w:r>
      <w:r>
        <w:rPr>
          <w:rFonts w:hint="eastAsia" w:ascii="仿宋_GB2312" w:hAnsi="仿宋" w:eastAsia="仿宋_GB2312" w:cs="Times New Roman"/>
          <w:sz w:val="32"/>
          <w:szCs w:val="32"/>
        </w:rPr>
        <w:t>，</w:t>
      </w:r>
      <w:r>
        <w:rPr>
          <w:rFonts w:ascii="仿宋_GB2312" w:hAnsi="仿宋" w:eastAsia="仿宋_GB2312" w:cs="Times New Roman"/>
          <w:sz w:val="32"/>
          <w:szCs w:val="32"/>
        </w:rPr>
        <w:t>基本形成学习型社会，</w:t>
      </w:r>
      <w:r>
        <w:rPr>
          <w:rFonts w:hint="eastAsia" w:ascii="仿宋_GB2312" w:hAnsi="仿宋" w:eastAsia="仿宋_GB2312" w:cs="Times New Roman"/>
          <w:sz w:val="32"/>
          <w:szCs w:val="32"/>
        </w:rPr>
        <w:t>为</w:t>
      </w:r>
      <w:r>
        <w:rPr>
          <w:rFonts w:ascii="仿宋_GB2312" w:hAnsi="仿宋" w:eastAsia="仿宋_GB2312" w:cs="Times New Roman"/>
          <w:sz w:val="32"/>
          <w:szCs w:val="32"/>
        </w:rPr>
        <w:t>进入人力资源强市</w:t>
      </w:r>
      <w:r>
        <w:rPr>
          <w:rFonts w:hint="eastAsia" w:ascii="仿宋_GB2312" w:hAnsi="仿宋" w:eastAsia="仿宋_GB2312" w:cs="Times New Roman"/>
          <w:sz w:val="32"/>
          <w:szCs w:val="32"/>
        </w:rPr>
        <w:t>、服务</w:t>
      </w:r>
      <w:r>
        <w:rPr>
          <w:rFonts w:ascii="仿宋_GB2312" w:hAnsi="仿宋" w:eastAsia="仿宋_GB2312" w:cs="Times New Roman"/>
          <w:sz w:val="32"/>
          <w:szCs w:val="32"/>
        </w:rPr>
        <w:t>郑州经济社会</w:t>
      </w:r>
      <w:r>
        <w:rPr>
          <w:rFonts w:hint="eastAsia" w:ascii="仿宋_GB2312" w:hAnsi="仿宋" w:eastAsia="仿宋_GB2312" w:cs="Times New Roman"/>
          <w:sz w:val="32"/>
          <w:szCs w:val="32"/>
        </w:rPr>
        <w:t>发展和国家中心城市建设做出重要贡献</w:t>
      </w:r>
      <w:r>
        <w:rPr>
          <w:rFonts w:ascii="仿宋_GB2312" w:hAnsi="仿宋" w:eastAsia="仿宋_GB2312" w:cs="Times New Roman"/>
          <w:sz w:val="32"/>
          <w:szCs w:val="32"/>
        </w:rPr>
        <w:t>。</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到2035年全面实现教育现代化，全面建成学习型城市，教育和人力资源开发进入全国城市领先行列。实现各级各类教育高质量发展，普惠安全优质的学前教育资源实现全覆盖，义务教育优质均衡全面实现，高中教育分层分类相结合的发展格局实现，</w:t>
      </w:r>
      <w:r>
        <w:rPr>
          <w:rFonts w:ascii="仿宋_GB2312" w:hAnsi="仿宋" w:eastAsia="仿宋_GB2312" w:cs="Times New Roman"/>
          <w:sz w:val="32"/>
          <w:szCs w:val="32"/>
        </w:rPr>
        <w:t>开放融合的现代</w:t>
      </w:r>
      <w:r>
        <w:rPr>
          <w:rFonts w:hint="eastAsia" w:ascii="仿宋_GB2312" w:hAnsi="仿宋" w:eastAsia="仿宋_GB2312" w:cs="Times New Roman"/>
          <w:sz w:val="32"/>
          <w:szCs w:val="32"/>
        </w:rPr>
        <w:t>职业</w:t>
      </w:r>
      <w:r>
        <w:rPr>
          <w:rFonts w:ascii="仿宋_GB2312" w:hAnsi="仿宋" w:eastAsia="仿宋_GB2312" w:cs="Times New Roman"/>
          <w:sz w:val="32"/>
          <w:szCs w:val="32"/>
        </w:rPr>
        <w:t>教育体系</w:t>
      </w:r>
      <w:r>
        <w:rPr>
          <w:rFonts w:hint="eastAsia" w:ascii="仿宋_GB2312" w:hAnsi="仿宋" w:eastAsia="仿宋_GB2312" w:cs="Times New Roman"/>
          <w:sz w:val="32"/>
          <w:szCs w:val="32"/>
        </w:rPr>
        <w:t>形成，高校一流学科建设水平和高等教育服务创新能力显著提升，服务市民、</w:t>
      </w:r>
      <w:r>
        <w:rPr>
          <w:rFonts w:ascii="仿宋_GB2312" w:hAnsi="仿宋" w:eastAsia="仿宋_GB2312" w:cs="Times New Roman"/>
          <w:sz w:val="32"/>
          <w:szCs w:val="32"/>
        </w:rPr>
        <w:t>多元参与、灵活便利的终身</w:t>
      </w:r>
      <w:r>
        <w:rPr>
          <w:rFonts w:hint="eastAsia" w:ascii="仿宋_GB2312" w:hAnsi="仿宋" w:eastAsia="仿宋_GB2312" w:cs="Times New Roman"/>
          <w:sz w:val="32"/>
          <w:szCs w:val="32"/>
        </w:rPr>
        <w:t>学习</w:t>
      </w:r>
      <w:r>
        <w:rPr>
          <w:rFonts w:ascii="仿宋_GB2312" w:hAnsi="仿宋" w:eastAsia="仿宋_GB2312" w:cs="Times New Roman"/>
          <w:sz w:val="32"/>
          <w:szCs w:val="32"/>
        </w:rPr>
        <w:t>体系形成</w:t>
      </w:r>
      <w:r>
        <w:rPr>
          <w:rFonts w:hint="eastAsia" w:ascii="仿宋_GB2312" w:hAnsi="仿宋" w:eastAsia="仿宋_GB2312" w:cs="Times New Roman"/>
          <w:sz w:val="32"/>
          <w:szCs w:val="32"/>
        </w:rPr>
        <w:t>。实现区域性教育中心建设的基础能力显著提升，专业化高素质教师队伍和教育人才队伍在区域性教育中心建设中发挥关键支撑作用，符合郑州实际的教育质量标准与评价体系发挥科学导向作用，信息化深度应用对教育现代化明显产生带动作用。实现</w:t>
      </w:r>
      <w:r>
        <w:rPr>
          <w:rFonts w:ascii="仿宋_GB2312" w:hAnsi="仿宋" w:eastAsia="仿宋_GB2312" w:cs="Times New Roman"/>
          <w:sz w:val="32"/>
          <w:szCs w:val="32"/>
        </w:rPr>
        <w:t>学习者</w:t>
      </w:r>
      <w:r>
        <w:rPr>
          <w:rFonts w:hint="eastAsia" w:ascii="仿宋_GB2312" w:hAnsi="仿宋" w:eastAsia="仿宋_GB2312" w:cs="Times New Roman"/>
          <w:sz w:val="32"/>
          <w:szCs w:val="32"/>
        </w:rPr>
        <w:t>主动学习、全面发展、人生出彩，全面引领中西部地区实现教育现代化，各级各类教育发展和人力资源开发达到发达国家水平，形成具有郑州特色的“美好教育”发展道路，成为</w:t>
      </w:r>
      <w:r>
        <w:rPr>
          <w:rFonts w:ascii="仿宋_GB2312" w:hAnsi="仿宋" w:eastAsia="仿宋_GB2312" w:cs="Times New Roman"/>
          <w:sz w:val="32"/>
          <w:szCs w:val="32"/>
        </w:rPr>
        <w:t>发挥引领示范作用</w:t>
      </w:r>
      <w:r>
        <w:rPr>
          <w:rFonts w:hint="eastAsia" w:ascii="仿宋_GB2312" w:hAnsi="仿宋" w:eastAsia="仿宋_GB2312" w:cs="Times New Roman"/>
          <w:sz w:val="32"/>
          <w:szCs w:val="32"/>
        </w:rPr>
        <w:t>、具有重要国际影响力的全国</w:t>
      </w:r>
      <w:r>
        <w:rPr>
          <w:rFonts w:ascii="仿宋_GB2312" w:hAnsi="仿宋" w:eastAsia="仿宋_GB2312" w:cs="Times New Roman"/>
          <w:sz w:val="32"/>
          <w:szCs w:val="32"/>
        </w:rPr>
        <w:t>中西部地区</w:t>
      </w:r>
      <w:r>
        <w:rPr>
          <w:rFonts w:hint="eastAsia" w:ascii="仿宋_GB2312" w:hAnsi="仿宋" w:eastAsia="仿宋_GB2312" w:cs="Times New Roman"/>
          <w:sz w:val="32"/>
          <w:szCs w:val="32"/>
        </w:rPr>
        <w:t>区域性教育中心、全国重要创新科教中心，形成全球教育资源配置能力和优质教育资源配置中心枢纽，为郑州全面建成国家中心城市、进入</w:t>
      </w:r>
      <w:r>
        <w:rPr>
          <w:rFonts w:ascii="仿宋_GB2312" w:hAnsi="仿宋" w:eastAsia="仿宋_GB2312" w:cs="Times New Roman"/>
          <w:sz w:val="32"/>
          <w:szCs w:val="32"/>
        </w:rPr>
        <w:t>国家创新型城市前列</w:t>
      </w:r>
      <w:r>
        <w:rPr>
          <w:rFonts w:hint="eastAsia" w:ascii="仿宋_GB2312" w:hAnsi="仿宋" w:eastAsia="仿宋_GB2312" w:cs="Times New Roman"/>
          <w:sz w:val="32"/>
          <w:szCs w:val="32"/>
        </w:rPr>
        <w:t>提供强有力的人力资源支撑和智力服务。</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18" w:name="_Toc1027624"/>
      <w:bookmarkStart w:id="19" w:name="_Toc2447"/>
      <w:r>
        <w:rPr>
          <w:rFonts w:hint="eastAsia" w:ascii="楷体_GB2312" w:hAnsi="Calibri Light" w:eastAsia="楷体_GB2312" w:cs="Times New Roman"/>
          <w:b/>
          <w:bCs/>
          <w:kern w:val="0"/>
          <w:sz w:val="32"/>
          <w:szCs w:val="32"/>
        </w:rPr>
        <w:t>（二）</w:t>
      </w:r>
      <w:r>
        <w:rPr>
          <w:rFonts w:ascii="楷体_GB2312" w:hAnsi="Calibri Light" w:eastAsia="楷体_GB2312" w:cs="Times New Roman"/>
          <w:b/>
          <w:bCs/>
          <w:kern w:val="0"/>
          <w:sz w:val="32"/>
          <w:szCs w:val="32"/>
        </w:rPr>
        <w:t>主要发展</w:t>
      </w:r>
      <w:r>
        <w:rPr>
          <w:rFonts w:hint="eastAsia" w:ascii="楷体_GB2312" w:hAnsi="Calibri Light" w:eastAsia="楷体_GB2312" w:cs="Times New Roman"/>
          <w:b/>
          <w:bCs/>
          <w:kern w:val="0"/>
          <w:sz w:val="32"/>
          <w:szCs w:val="32"/>
        </w:rPr>
        <w:t>目标</w:t>
      </w:r>
      <w:bookmarkEnd w:id="18"/>
      <w:bookmarkEnd w:id="19"/>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现代教育理念全面融入实践。</w:t>
      </w:r>
      <w:r>
        <w:rPr>
          <w:rFonts w:hint="eastAsia" w:ascii="仿宋_GB2312" w:hAnsi="仿宋" w:eastAsia="仿宋_GB2312" w:cs="Times New Roman"/>
          <w:sz w:val="32"/>
          <w:szCs w:val="32"/>
        </w:rPr>
        <w:t>将以德为先、全面发展、面向人人、终身学习、因材施教、知行合一、融合发展、共建共享等基本理念</w:t>
      </w:r>
      <w:r>
        <w:rPr>
          <w:rFonts w:ascii="仿宋_GB2312" w:hAnsi="仿宋" w:eastAsia="仿宋_GB2312" w:cs="Times New Roman"/>
          <w:sz w:val="32"/>
          <w:szCs w:val="32"/>
        </w:rPr>
        <w:t>，</w:t>
      </w:r>
      <w:r>
        <w:rPr>
          <w:rFonts w:hint="eastAsia" w:ascii="仿宋_GB2312" w:hAnsi="仿宋" w:eastAsia="仿宋_GB2312" w:cs="Times New Roman"/>
          <w:sz w:val="32"/>
          <w:szCs w:val="32"/>
        </w:rPr>
        <w:t>使之</w:t>
      </w:r>
      <w:r>
        <w:rPr>
          <w:rFonts w:ascii="仿宋_GB2312" w:hAnsi="仿宋" w:eastAsia="仿宋_GB2312" w:cs="Times New Roman"/>
          <w:sz w:val="32"/>
          <w:szCs w:val="32"/>
        </w:rPr>
        <w:t>成为包括教育者</w:t>
      </w:r>
      <w:r>
        <w:rPr>
          <w:rFonts w:hint="eastAsia" w:ascii="仿宋_GB2312" w:hAnsi="仿宋" w:eastAsia="仿宋_GB2312" w:cs="Times New Roman"/>
          <w:sz w:val="32"/>
          <w:szCs w:val="32"/>
        </w:rPr>
        <w:t>、</w:t>
      </w:r>
      <w:r>
        <w:rPr>
          <w:rFonts w:ascii="仿宋_GB2312" w:hAnsi="仿宋" w:eastAsia="仿宋_GB2312" w:cs="Times New Roman"/>
          <w:sz w:val="32"/>
          <w:szCs w:val="32"/>
        </w:rPr>
        <w:t>学习者</w:t>
      </w:r>
      <w:r>
        <w:rPr>
          <w:rFonts w:hint="eastAsia" w:ascii="仿宋_GB2312" w:hAnsi="仿宋" w:eastAsia="仿宋_GB2312" w:cs="Times New Roman"/>
          <w:sz w:val="32"/>
          <w:szCs w:val="32"/>
        </w:rPr>
        <w:t>、</w:t>
      </w:r>
      <w:r>
        <w:rPr>
          <w:rFonts w:ascii="仿宋_GB2312" w:hAnsi="仿宋" w:eastAsia="仿宋_GB2312" w:cs="Times New Roman"/>
          <w:sz w:val="32"/>
          <w:szCs w:val="32"/>
        </w:rPr>
        <w:t>管理者</w:t>
      </w:r>
      <w:r>
        <w:rPr>
          <w:rFonts w:hint="eastAsia" w:ascii="仿宋_GB2312" w:hAnsi="仿宋" w:eastAsia="仿宋_GB2312" w:cs="Times New Roman"/>
          <w:sz w:val="32"/>
          <w:szCs w:val="32"/>
        </w:rPr>
        <w:t>、</w:t>
      </w:r>
      <w:r>
        <w:rPr>
          <w:rFonts w:ascii="仿宋_GB2312" w:hAnsi="仿宋" w:eastAsia="仿宋_GB2312" w:cs="Times New Roman"/>
          <w:sz w:val="32"/>
          <w:szCs w:val="32"/>
        </w:rPr>
        <w:t>用人者</w:t>
      </w:r>
      <w:r>
        <w:rPr>
          <w:rFonts w:hint="eastAsia" w:ascii="仿宋_GB2312" w:hAnsi="仿宋" w:eastAsia="仿宋_GB2312" w:cs="Times New Roman"/>
          <w:sz w:val="32"/>
          <w:szCs w:val="32"/>
        </w:rPr>
        <w:t>在</w:t>
      </w:r>
      <w:r>
        <w:rPr>
          <w:rFonts w:ascii="仿宋_GB2312" w:hAnsi="仿宋" w:eastAsia="仿宋_GB2312" w:cs="Times New Roman"/>
          <w:sz w:val="32"/>
          <w:szCs w:val="32"/>
        </w:rPr>
        <w:t>内的</w:t>
      </w:r>
      <w:r>
        <w:rPr>
          <w:rFonts w:hint="eastAsia" w:ascii="仿宋_GB2312" w:hAnsi="仿宋" w:eastAsia="仿宋_GB2312" w:cs="Times New Roman"/>
          <w:sz w:val="32"/>
          <w:szCs w:val="32"/>
        </w:rPr>
        <w:t>全社会</w:t>
      </w:r>
      <w:r>
        <w:rPr>
          <w:rFonts w:ascii="仿宋_GB2312" w:hAnsi="仿宋" w:eastAsia="仿宋_GB2312" w:cs="Times New Roman"/>
          <w:sz w:val="32"/>
          <w:szCs w:val="32"/>
        </w:rPr>
        <w:t>的普遍共识和行动指引</w:t>
      </w:r>
      <w:r>
        <w:rPr>
          <w:rFonts w:hint="eastAsia" w:ascii="仿宋_GB2312" w:hAnsi="仿宋" w:eastAsia="仿宋_GB2312" w:cs="Times New Roman"/>
          <w:sz w:val="32"/>
          <w:szCs w:val="32"/>
        </w:rPr>
        <w:t>，引领和</w:t>
      </w:r>
      <w:r>
        <w:rPr>
          <w:rFonts w:ascii="仿宋_GB2312" w:hAnsi="仿宋" w:eastAsia="仿宋_GB2312" w:cs="Times New Roman"/>
          <w:sz w:val="32"/>
          <w:szCs w:val="32"/>
        </w:rPr>
        <w:t>指导</w:t>
      </w:r>
      <w:r>
        <w:rPr>
          <w:rFonts w:hint="eastAsia" w:ascii="仿宋_GB2312" w:hAnsi="仿宋" w:eastAsia="仿宋_GB2312" w:cs="Times New Roman"/>
          <w:sz w:val="32"/>
          <w:szCs w:val="32"/>
        </w:rPr>
        <w:t>郑州教育改革和发展实践</w:t>
      </w:r>
      <w:r>
        <w:rPr>
          <w:rFonts w:ascii="仿宋_GB2312" w:hAnsi="仿宋" w:eastAsia="仿宋_GB2312" w:cs="Times New Roman"/>
          <w:sz w:val="32"/>
          <w:szCs w:val="32"/>
        </w:rPr>
        <w:t>。</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学生实现全面而有个性发展。</w:t>
      </w:r>
      <w:r>
        <w:rPr>
          <w:rFonts w:hint="eastAsia" w:ascii="仿宋_GB2312" w:hAnsi="仿宋" w:eastAsia="仿宋_GB2312" w:cs="Times New Roman"/>
          <w:sz w:val="32"/>
          <w:szCs w:val="32"/>
        </w:rPr>
        <w:t>学生</w:t>
      </w:r>
      <w:r>
        <w:rPr>
          <w:rFonts w:ascii="仿宋_GB2312" w:hAnsi="仿宋" w:eastAsia="仿宋_GB2312" w:cs="Times New Roman"/>
          <w:sz w:val="32"/>
          <w:szCs w:val="32"/>
        </w:rPr>
        <w:t>德育发展水平、学业质量和学习能力、身心健康状况、美育素养、劳动素养、科学素养、法治素养以及未来发展需要的</w:t>
      </w:r>
      <w:r>
        <w:rPr>
          <w:rFonts w:hint="eastAsia" w:ascii="仿宋_GB2312" w:hAnsi="仿宋" w:eastAsia="仿宋_GB2312" w:cs="Times New Roman"/>
          <w:sz w:val="32"/>
          <w:szCs w:val="32"/>
        </w:rPr>
        <w:t>新</w:t>
      </w:r>
      <w:r>
        <w:rPr>
          <w:rFonts w:ascii="仿宋_GB2312" w:hAnsi="仿宋" w:eastAsia="仿宋_GB2312" w:cs="Times New Roman"/>
          <w:sz w:val="32"/>
          <w:szCs w:val="32"/>
        </w:rPr>
        <w:t>思维新技能等素质</w:t>
      </w:r>
      <w:r>
        <w:rPr>
          <w:rFonts w:hint="eastAsia" w:ascii="仿宋_GB2312" w:hAnsi="仿宋" w:eastAsia="仿宋_GB2312" w:cs="Times New Roman"/>
          <w:sz w:val="32"/>
          <w:szCs w:val="32"/>
        </w:rPr>
        <w:t>普遍得到</w:t>
      </w:r>
      <w:r>
        <w:rPr>
          <w:rFonts w:ascii="仿宋_GB2312" w:hAnsi="仿宋" w:eastAsia="仿宋_GB2312" w:cs="Times New Roman"/>
          <w:sz w:val="32"/>
          <w:szCs w:val="32"/>
        </w:rPr>
        <w:t>提升，为学生全面发展、终身学习、具有适应新时代变革和获得幸福美好生活能力奠定基础</w:t>
      </w:r>
      <w:r>
        <w:rPr>
          <w:rFonts w:hint="eastAsia" w:ascii="仿宋_GB2312" w:hAnsi="仿宋" w:eastAsia="仿宋_GB2312" w:cs="Times New Roman"/>
          <w:sz w:val="32"/>
          <w:szCs w:val="32"/>
        </w:rPr>
        <w:t>。</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各级各类学校</w:t>
      </w:r>
      <w:r>
        <w:rPr>
          <w:rFonts w:ascii="仿宋_GB2312" w:hAnsi="仿宋" w:eastAsia="仿宋_GB2312" w:cs="Times New Roman"/>
          <w:b/>
          <w:sz w:val="32"/>
          <w:szCs w:val="32"/>
        </w:rPr>
        <w:t>办学特色</w:t>
      </w:r>
      <w:r>
        <w:rPr>
          <w:rFonts w:hint="eastAsia" w:ascii="仿宋_GB2312" w:hAnsi="仿宋" w:eastAsia="仿宋_GB2312" w:cs="Times New Roman"/>
          <w:b/>
          <w:sz w:val="32"/>
          <w:szCs w:val="32"/>
        </w:rPr>
        <w:t>活力明显增强。</w:t>
      </w:r>
      <w:r>
        <w:rPr>
          <w:rFonts w:hint="eastAsia" w:ascii="仿宋_GB2312" w:hAnsi="仿宋" w:eastAsia="仿宋_GB2312" w:cs="Times New Roman"/>
          <w:sz w:val="32"/>
          <w:szCs w:val="32"/>
        </w:rPr>
        <w:t>学校主动发展、可持续发展的政策制度环境、保障条件、社会支持氛围得到全面改善，</w:t>
      </w:r>
      <w:r>
        <w:rPr>
          <w:rFonts w:ascii="仿宋_GB2312" w:hAnsi="仿宋" w:eastAsia="仿宋_GB2312" w:cs="Times New Roman"/>
          <w:sz w:val="32"/>
          <w:szCs w:val="32"/>
        </w:rPr>
        <w:t>教育教学改革和实践创新充满生机活力。人才培养模式变革深入推进，学生学习方式与评价变革持续推进。信息技术与教育教学实现深度融合，校园建设凸显人文、绿色、智慧特点，智慧学校建设成效显著。</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服务全民终身学习的现代教育体系</w:t>
      </w:r>
      <w:r>
        <w:rPr>
          <w:rFonts w:hint="eastAsia" w:ascii="仿宋_GB2312" w:hAnsi="仿宋" w:eastAsia="仿宋_GB2312" w:cs="Times New Roman"/>
          <w:b/>
          <w:sz w:val="32"/>
          <w:szCs w:val="32"/>
        </w:rPr>
        <w:t>建立</w:t>
      </w:r>
      <w:r>
        <w:rPr>
          <w:rFonts w:ascii="仿宋_GB2312" w:hAnsi="仿宋" w:eastAsia="仿宋_GB2312" w:cs="Times New Roman"/>
          <w:b/>
          <w:sz w:val="32"/>
          <w:szCs w:val="32"/>
        </w:rPr>
        <w:t>。</w:t>
      </w:r>
      <w:r>
        <w:rPr>
          <w:rFonts w:ascii="仿宋_GB2312" w:hAnsi="仿宋" w:eastAsia="仿宋_GB2312" w:cs="Times New Roman"/>
          <w:sz w:val="32"/>
          <w:szCs w:val="32"/>
        </w:rPr>
        <w:t>以让全体市民具有终身学习和获得幸福生活的能力为目标</w:t>
      </w:r>
      <w:r>
        <w:rPr>
          <w:rFonts w:hint="eastAsia" w:ascii="仿宋_GB2312" w:hAnsi="仿宋" w:eastAsia="仿宋_GB2312" w:cs="Times New Roman"/>
          <w:sz w:val="32"/>
          <w:szCs w:val="32"/>
        </w:rPr>
        <w:t>，构建学习便捷、衔接科学、通道连接、泛在可选的</w:t>
      </w:r>
      <w:r>
        <w:rPr>
          <w:rFonts w:ascii="仿宋_GB2312" w:hAnsi="仿宋" w:eastAsia="仿宋_GB2312" w:cs="Times New Roman"/>
          <w:sz w:val="32"/>
          <w:szCs w:val="32"/>
        </w:rPr>
        <w:t>现代教育体系</w:t>
      </w:r>
      <w:r>
        <w:rPr>
          <w:rFonts w:hint="eastAsia" w:ascii="仿宋_GB2312" w:hAnsi="仿宋" w:eastAsia="仿宋_GB2312" w:cs="Times New Roman"/>
          <w:sz w:val="32"/>
          <w:szCs w:val="32"/>
        </w:rPr>
        <w:t>。</w:t>
      </w:r>
      <w:r>
        <w:rPr>
          <w:rFonts w:ascii="仿宋_GB2312" w:hAnsi="仿宋" w:eastAsia="仿宋_GB2312" w:cs="Times New Roman"/>
          <w:sz w:val="32"/>
          <w:szCs w:val="32"/>
        </w:rPr>
        <w:t>基础教育、职业教育、高等教育和</w:t>
      </w:r>
      <w:r>
        <w:rPr>
          <w:rFonts w:hint="eastAsia" w:ascii="仿宋_GB2312" w:hAnsi="仿宋" w:eastAsia="仿宋_GB2312" w:cs="Times New Roman"/>
          <w:sz w:val="32"/>
          <w:szCs w:val="32"/>
        </w:rPr>
        <w:t>继续</w:t>
      </w:r>
      <w:r>
        <w:rPr>
          <w:rFonts w:ascii="仿宋_GB2312" w:hAnsi="仿宋" w:eastAsia="仿宋_GB2312" w:cs="Times New Roman"/>
          <w:sz w:val="32"/>
          <w:szCs w:val="32"/>
        </w:rPr>
        <w:t>教育协调发展，学历教育和非学历教育、职业教育和</w:t>
      </w:r>
      <w:r>
        <w:rPr>
          <w:rFonts w:hint="eastAsia" w:ascii="仿宋_GB2312" w:hAnsi="仿宋" w:eastAsia="仿宋_GB2312" w:cs="Times New Roman"/>
          <w:sz w:val="32"/>
          <w:szCs w:val="32"/>
        </w:rPr>
        <w:t>成人</w:t>
      </w:r>
      <w:r>
        <w:rPr>
          <w:rFonts w:ascii="仿宋_GB2312" w:hAnsi="仿宋" w:eastAsia="仿宋_GB2312" w:cs="Times New Roman"/>
          <w:sz w:val="32"/>
          <w:szCs w:val="32"/>
        </w:rPr>
        <w:t>教育、线上学习和线下学习相互融合，学校教育和社会教育、家庭教育密切协同。</w:t>
      </w:r>
      <w:r>
        <w:rPr>
          <w:rFonts w:hint="eastAsia" w:ascii="仿宋_GB2312" w:hAnsi="仿宋" w:eastAsia="仿宋_GB2312" w:cs="Times New Roman"/>
          <w:sz w:val="32"/>
          <w:szCs w:val="32"/>
        </w:rPr>
        <w:t>0-</w:t>
      </w:r>
      <w:r>
        <w:rPr>
          <w:rFonts w:ascii="仿宋_GB2312" w:hAnsi="仿宋" w:eastAsia="仿宋_GB2312" w:cs="Times New Roman"/>
          <w:sz w:val="32"/>
          <w:szCs w:val="32"/>
        </w:rPr>
        <w:t>18岁</w:t>
      </w:r>
      <w:r>
        <w:rPr>
          <w:rFonts w:hint="eastAsia" w:ascii="仿宋_GB2312" w:hAnsi="仿宋" w:eastAsia="仿宋_GB2312" w:cs="Times New Roman"/>
          <w:sz w:val="32"/>
          <w:szCs w:val="32"/>
        </w:rPr>
        <w:t>基础</w:t>
      </w:r>
      <w:r>
        <w:rPr>
          <w:rFonts w:ascii="仿宋_GB2312" w:hAnsi="仿宋" w:eastAsia="仿宋_GB2312" w:cs="Times New Roman"/>
          <w:sz w:val="32"/>
          <w:szCs w:val="32"/>
        </w:rPr>
        <w:t>教育体系全面建成</w:t>
      </w:r>
      <w:r>
        <w:rPr>
          <w:rFonts w:hint="eastAsia" w:ascii="仿宋_GB2312" w:hAnsi="仿宋" w:eastAsia="仿宋_GB2312" w:cs="Times New Roman"/>
          <w:sz w:val="32"/>
          <w:szCs w:val="32"/>
        </w:rPr>
        <w:t>，</w:t>
      </w:r>
      <w:r>
        <w:rPr>
          <w:rFonts w:ascii="仿宋_GB2312" w:hAnsi="仿宋" w:eastAsia="仿宋_GB2312" w:cs="Times New Roman"/>
          <w:sz w:val="32"/>
          <w:szCs w:val="32"/>
        </w:rPr>
        <w:t>现代职业教育体系更加完备，高校成为郑州</w:t>
      </w:r>
      <w:r>
        <w:rPr>
          <w:rFonts w:hint="eastAsia" w:ascii="仿宋_GB2312" w:hAnsi="仿宋" w:eastAsia="仿宋_GB2312" w:cs="Times New Roman"/>
          <w:sz w:val="32"/>
          <w:szCs w:val="32"/>
        </w:rPr>
        <w:t>国家</w:t>
      </w:r>
      <w:r>
        <w:rPr>
          <w:rFonts w:ascii="仿宋_GB2312" w:hAnsi="仿宋" w:eastAsia="仿宋_GB2312" w:cs="Times New Roman"/>
          <w:sz w:val="32"/>
          <w:szCs w:val="32"/>
        </w:rPr>
        <w:t>中心城市建设的重要策源地</w:t>
      </w:r>
      <w:r>
        <w:rPr>
          <w:rFonts w:hint="eastAsia" w:ascii="仿宋_GB2312" w:hAnsi="仿宋" w:eastAsia="仿宋_GB2312" w:cs="Times New Roman"/>
          <w:sz w:val="32"/>
          <w:szCs w:val="32"/>
        </w:rPr>
        <w:t>，</w:t>
      </w:r>
      <w:r>
        <w:rPr>
          <w:rFonts w:ascii="仿宋_GB2312" w:hAnsi="仿宋" w:eastAsia="仿宋_GB2312" w:cs="Times New Roman"/>
          <w:sz w:val="32"/>
          <w:szCs w:val="32"/>
        </w:rPr>
        <w:t>建成全球领先的学习型城市。</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教育服务保障能力与国家中心城市发展水平相匹配。</w:t>
      </w:r>
      <w:r>
        <w:rPr>
          <w:rFonts w:hint="eastAsia" w:ascii="仿宋_GB2312" w:hAnsi="仿宋" w:eastAsia="仿宋_GB2312" w:cs="Times New Roman"/>
          <w:sz w:val="32"/>
          <w:szCs w:val="32"/>
        </w:rPr>
        <w:t>健全</w:t>
      </w:r>
      <w:r>
        <w:rPr>
          <w:rFonts w:ascii="仿宋_GB2312" w:hAnsi="仿宋" w:eastAsia="仿宋_GB2312" w:cs="Times New Roman"/>
          <w:sz w:val="32"/>
          <w:szCs w:val="32"/>
        </w:rPr>
        <w:t>以政府投入为主、多渠道筹集教育经费体制</w:t>
      </w:r>
      <w:r>
        <w:rPr>
          <w:rFonts w:hint="eastAsia" w:ascii="仿宋_GB2312" w:hAnsi="仿宋" w:eastAsia="仿宋_GB2312" w:cs="Times New Roman"/>
          <w:sz w:val="32"/>
          <w:szCs w:val="32"/>
        </w:rPr>
        <w:t>，形成与郑州经济</w:t>
      </w:r>
      <w:r>
        <w:rPr>
          <w:rFonts w:ascii="仿宋_GB2312" w:hAnsi="仿宋" w:eastAsia="仿宋_GB2312" w:cs="Times New Roman"/>
          <w:sz w:val="32"/>
          <w:szCs w:val="32"/>
        </w:rPr>
        <w:t>社会发展相匹配的</w:t>
      </w:r>
      <w:r>
        <w:rPr>
          <w:rFonts w:hint="eastAsia" w:ascii="仿宋_GB2312" w:hAnsi="仿宋" w:eastAsia="仿宋_GB2312" w:cs="Times New Roman"/>
          <w:sz w:val="32"/>
          <w:szCs w:val="32"/>
        </w:rPr>
        <w:t>财政教育投入</w:t>
      </w:r>
      <w:r>
        <w:rPr>
          <w:rFonts w:ascii="仿宋_GB2312" w:hAnsi="仿宋" w:eastAsia="仿宋_GB2312" w:cs="Times New Roman"/>
          <w:sz w:val="32"/>
          <w:szCs w:val="32"/>
        </w:rPr>
        <w:t>持续稳定增长</w:t>
      </w:r>
      <w:r>
        <w:rPr>
          <w:rFonts w:hint="eastAsia" w:ascii="仿宋_GB2312" w:hAnsi="仿宋" w:eastAsia="仿宋_GB2312" w:cs="Times New Roman"/>
          <w:sz w:val="32"/>
          <w:szCs w:val="32"/>
        </w:rPr>
        <w:t>长效</w:t>
      </w:r>
      <w:r>
        <w:rPr>
          <w:rFonts w:ascii="仿宋_GB2312" w:hAnsi="仿宋" w:eastAsia="仿宋_GB2312" w:cs="Times New Roman"/>
          <w:sz w:val="32"/>
          <w:szCs w:val="32"/>
        </w:rPr>
        <w:t>机制</w:t>
      </w:r>
      <w:r>
        <w:rPr>
          <w:rFonts w:hint="eastAsia" w:ascii="仿宋_GB2312" w:hAnsi="仿宋" w:eastAsia="仿宋_GB2312" w:cs="Times New Roman"/>
          <w:sz w:val="32"/>
          <w:szCs w:val="32"/>
        </w:rPr>
        <w:t>和经费保障能力，</w:t>
      </w:r>
      <w:r>
        <w:rPr>
          <w:rFonts w:ascii="仿宋_GB2312" w:hAnsi="仿宋" w:eastAsia="仿宋_GB2312" w:cs="Times New Roman"/>
          <w:sz w:val="32"/>
          <w:szCs w:val="32"/>
        </w:rPr>
        <w:t>各级教育生均投入满足新时代教育高质量发展新需求。教师队伍建设适应新时代</w:t>
      </w:r>
      <w:r>
        <w:rPr>
          <w:rFonts w:hint="eastAsia" w:ascii="仿宋_GB2312" w:hAnsi="仿宋" w:eastAsia="仿宋_GB2312" w:cs="Times New Roman"/>
          <w:sz w:val="32"/>
          <w:szCs w:val="32"/>
        </w:rPr>
        <w:t>的</w:t>
      </w:r>
      <w:r>
        <w:rPr>
          <w:rFonts w:ascii="仿宋_GB2312" w:hAnsi="仿宋" w:eastAsia="仿宋_GB2312" w:cs="Times New Roman"/>
          <w:sz w:val="32"/>
          <w:szCs w:val="32"/>
        </w:rPr>
        <w:t>新需求，教师配置及发展保障水平更加有力，教师地位显著提升</w:t>
      </w:r>
      <w:r>
        <w:rPr>
          <w:rFonts w:hint="eastAsia" w:ascii="仿宋_GB2312" w:hAnsi="仿宋" w:eastAsia="仿宋_GB2312" w:cs="Times New Roman"/>
          <w:sz w:val="32"/>
          <w:szCs w:val="32"/>
        </w:rPr>
        <w:t>，尊师</w:t>
      </w:r>
      <w:r>
        <w:rPr>
          <w:rFonts w:ascii="仿宋_GB2312" w:hAnsi="仿宋" w:eastAsia="仿宋_GB2312" w:cs="Times New Roman"/>
          <w:sz w:val="32"/>
          <w:szCs w:val="32"/>
        </w:rPr>
        <w:t>重教蔚然成风。</w:t>
      </w:r>
      <w:r>
        <w:rPr>
          <w:rFonts w:hint="eastAsia" w:ascii="仿宋_GB2312" w:hAnsi="仿宋" w:eastAsia="仿宋_GB2312" w:cs="Times New Roman"/>
          <w:sz w:val="32"/>
          <w:szCs w:val="32"/>
        </w:rPr>
        <w:t>教育信息化硬件</w:t>
      </w:r>
      <w:r>
        <w:rPr>
          <w:rFonts w:ascii="仿宋_GB2312" w:hAnsi="仿宋" w:eastAsia="仿宋_GB2312" w:cs="Times New Roman"/>
          <w:sz w:val="32"/>
          <w:szCs w:val="32"/>
        </w:rPr>
        <w:t>、软件和应用水平全方位</w:t>
      </w:r>
      <w:r>
        <w:rPr>
          <w:rFonts w:hint="eastAsia" w:ascii="仿宋_GB2312" w:hAnsi="仿宋" w:eastAsia="仿宋_GB2312" w:cs="Times New Roman"/>
          <w:sz w:val="32"/>
          <w:szCs w:val="32"/>
        </w:rPr>
        <w:t>提升</w:t>
      </w:r>
      <w:r>
        <w:rPr>
          <w:rFonts w:ascii="仿宋_GB2312" w:hAnsi="仿宋" w:eastAsia="仿宋_GB2312" w:cs="Times New Roman"/>
          <w:sz w:val="32"/>
          <w:szCs w:val="32"/>
        </w:rPr>
        <w:t>，教育内容</w:t>
      </w:r>
      <w:r>
        <w:rPr>
          <w:rFonts w:hint="eastAsia" w:ascii="仿宋_GB2312" w:hAnsi="仿宋" w:eastAsia="仿宋_GB2312" w:cs="Times New Roman"/>
          <w:sz w:val="32"/>
          <w:szCs w:val="32"/>
        </w:rPr>
        <w:t>和</w:t>
      </w:r>
      <w:r>
        <w:rPr>
          <w:rFonts w:ascii="仿宋_GB2312" w:hAnsi="仿宋" w:eastAsia="仿宋_GB2312" w:cs="Times New Roman"/>
          <w:sz w:val="32"/>
          <w:szCs w:val="32"/>
        </w:rPr>
        <w:t>形式凸显网络化、智能化特点，教育评价更加科学合理</w:t>
      </w:r>
      <w:r>
        <w:rPr>
          <w:rFonts w:hint="eastAsia" w:ascii="仿宋_GB2312" w:hAnsi="仿宋" w:eastAsia="仿宋_GB2312" w:cs="Times New Roman"/>
          <w:sz w:val="32"/>
          <w:szCs w:val="32"/>
        </w:rPr>
        <w:t>。</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实现教育治理体系与能力现代化。</w:t>
      </w:r>
      <w:r>
        <w:rPr>
          <w:rFonts w:ascii="仿宋_GB2312" w:hAnsi="仿宋" w:eastAsia="仿宋_GB2312" w:cs="Times New Roman"/>
          <w:sz w:val="32"/>
          <w:szCs w:val="32"/>
        </w:rPr>
        <w:t>教育领域“放管服”改革持续推进，教育管理信息化和决策施政科学化、民主化、精致化水平显著提高，形成体现教育规律、彰显郑州特色的分层分类教育标准及法律规范制度体系。现代学校制度建设成效显著，安全风险防控体系健全完善，学校办学自主权和师生合法权益有力保障，教师和校内机构创新发展活力有效激发。富有郑州特色的高水平新型教育智库及专业机构脱颖而出。建成完备的政府、学校和社会依法共同参与教育治理体制机制，实现教育治理现代化。</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教育服务创新发展能力显著提升</w:t>
      </w:r>
      <w:r>
        <w:rPr>
          <w:rFonts w:hint="eastAsia" w:ascii="仿宋_GB2312" w:hAnsi="仿宋" w:eastAsia="仿宋_GB2312" w:cs="Times New Roman"/>
          <w:sz w:val="32"/>
          <w:szCs w:val="32"/>
        </w:rPr>
        <w:t>。</w:t>
      </w:r>
      <w:r>
        <w:rPr>
          <w:rFonts w:ascii="仿宋_GB2312" w:hAnsi="仿宋" w:eastAsia="仿宋_GB2312" w:cs="Times New Roman"/>
          <w:sz w:val="32"/>
          <w:szCs w:val="32"/>
        </w:rPr>
        <w:t>健全适应郑州国家中心城市建设需要的人力资源开发和</w:t>
      </w:r>
      <w:r>
        <w:rPr>
          <w:rFonts w:hint="eastAsia" w:ascii="仿宋_GB2312" w:hAnsi="仿宋" w:eastAsia="仿宋_GB2312" w:cs="Times New Roman"/>
          <w:sz w:val="32"/>
          <w:szCs w:val="32"/>
        </w:rPr>
        <w:t>人才培养</w:t>
      </w:r>
      <w:r>
        <w:rPr>
          <w:rFonts w:ascii="仿宋_GB2312" w:hAnsi="仿宋" w:eastAsia="仿宋_GB2312" w:cs="Times New Roman"/>
          <w:sz w:val="32"/>
          <w:szCs w:val="32"/>
        </w:rPr>
        <w:t>体系，构筑顶尖科学家、“大国工匠”和各类高水平高技能人才聚集地</w:t>
      </w:r>
      <w:r>
        <w:rPr>
          <w:rFonts w:hint="eastAsia" w:ascii="仿宋_GB2312" w:hAnsi="仿宋" w:eastAsia="仿宋_GB2312" w:cs="Times New Roman"/>
          <w:sz w:val="32"/>
          <w:szCs w:val="32"/>
        </w:rPr>
        <w:t>，为</w:t>
      </w:r>
      <w:r>
        <w:rPr>
          <w:rFonts w:ascii="仿宋_GB2312" w:hAnsi="仿宋" w:eastAsia="仿宋_GB2312" w:cs="Times New Roman"/>
          <w:sz w:val="32"/>
          <w:szCs w:val="32"/>
        </w:rPr>
        <w:t>中原城市群形成人才集聚竞争优势提供重要支撑。教育对培养学习者创新思维、激发创新意识、挖掘创新潜能的作用更加凸显，知识型、创新型、技能型人才源源不断走出学校走向社会。高校重大科研成果转化能力显著提升，产出一批具有引领性、标志性和重要影响的基础研究原创性成果，建设一批享有国际声誉的学术高地、创新平台和智库，服务经济社会发展的高水平供给能力显著增强。郑州</w:t>
      </w:r>
      <w:r>
        <w:rPr>
          <w:rFonts w:hint="eastAsia" w:ascii="仿宋_GB2312" w:hAnsi="仿宋" w:eastAsia="仿宋_GB2312" w:cs="Times New Roman"/>
          <w:sz w:val="32"/>
          <w:szCs w:val="32"/>
        </w:rPr>
        <w:t>教育现代化改革</w:t>
      </w:r>
      <w:r>
        <w:rPr>
          <w:rFonts w:ascii="仿宋_GB2312" w:hAnsi="仿宋" w:eastAsia="仿宋_GB2312" w:cs="Times New Roman"/>
          <w:sz w:val="32"/>
          <w:szCs w:val="32"/>
        </w:rPr>
        <w:t>探索</w:t>
      </w:r>
      <w:r>
        <w:rPr>
          <w:rFonts w:hint="eastAsia" w:ascii="仿宋_GB2312" w:hAnsi="仿宋" w:eastAsia="仿宋_GB2312" w:cs="Times New Roman"/>
          <w:sz w:val="32"/>
          <w:szCs w:val="32"/>
        </w:rPr>
        <w:t>在中原城市群、中部崛起</w:t>
      </w:r>
      <w:r>
        <w:rPr>
          <w:rFonts w:ascii="仿宋_GB2312" w:hAnsi="仿宋" w:eastAsia="仿宋_GB2312" w:cs="Times New Roman"/>
          <w:sz w:val="32"/>
          <w:szCs w:val="32"/>
        </w:rPr>
        <w:t>乃至全国</w:t>
      </w:r>
      <w:r>
        <w:rPr>
          <w:rFonts w:hint="eastAsia" w:ascii="仿宋_GB2312" w:hAnsi="仿宋" w:eastAsia="仿宋_GB2312" w:cs="Times New Roman"/>
          <w:sz w:val="32"/>
          <w:szCs w:val="32"/>
        </w:rPr>
        <w:t>发挥</w:t>
      </w:r>
      <w:r>
        <w:rPr>
          <w:rFonts w:ascii="仿宋_GB2312" w:hAnsi="仿宋" w:eastAsia="仿宋_GB2312" w:cs="Times New Roman"/>
          <w:sz w:val="32"/>
          <w:szCs w:val="32"/>
        </w:rPr>
        <w:t>重要的服务</w:t>
      </w:r>
      <w:r>
        <w:rPr>
          <w:rFonts w:hint="eastAsia" w:ascii="仿宋_GB2312" w:hAnsi="仿宋" w:eastAsia="仿宋_GB2312" w:cs="Times New Roman"/>
          <w:sz w:val="32"/>
          <w:szCs w:val="32"/>
        </w:rPr>
        <w:t>、</w:t>
      </w:r>
      <w:r>
        <w:rPr>
          <w:rFonts w:ascii="仿宋_GB2312" w:hAnsi="仿宋" w:eastAsia="仿宋_GB2312" w:cs="Times New Roman"/>
          <w:sz w:val="32"/>
          <w:szCs w:val="32"/>
        </w:rPr>
        <w:t>辐射和</w:t>
      </w:r>
      <w:r>
        <w:rPr>
          <w:rFonts w:hint="eastAsia" w:ascii="仿宋_GB2312" w:hAnsi="仿宋" w:eastAsia="仿宋_GB2312" w:cs="Times New Roman"/>
          <w:sz w:val="32"/>
          <w:szCs w:val="32"/>
        </w:rPr>
        <w:t>示范</w:t>
      </w:r>
      <w:r>
        <w:rPr>
          <w:rFonts w:ascii="仿宋_GB2312" w:hAnsi="仿宋" w:eastAsia="仿宋_GB2312" w:cs="Times New Roman"/>
          <w:sz w:val="32"/>
          <w:szCs w:val="32"/>
        </w:rPr>
        <w:t>引领作用</w:t>
      </w:r>
      <w:r>
        <w:rPr>
          <w:rFonts w:hint="eastAsia" w:ascii="仿宋_GB2312" w:hAnsi="仿宋" w:eastAsia="仿宋_GB2312" w:cs="Times New Roman"/>
          <w:sz w:val="32"/>
          <w:szCs w:val="32"/>
        </w:rPr>
        <w:t>，留学生质量不断提升、结构不断完善，具有郑州特点的教育改革和发展经验在全球产生影响力。</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20" w:name="_Toc16592"/>
      <w:r>
        <w:rPr>
          <w:rFonts w:hint="eastAsia" w:ascii="楷体_GB2312" w:hAnsi="Calibri Light" w:eastAsia="楷体_GB2312" w:cs="Times New Roman"/>
          <w:b/>
          <w:bCs/>
          <w:kern w:val="0"/>
          <w:sz w:val="32"/>
          <w:szCs w:val="32"/>
        </w:rPr>
        <w:t>（三）主要预期指标</w:t>
      </w:r>
      <w:bookmarkEnd w:id="20"/>
    </w:p>
    <w:p>
      <w:pPr>
        <w:widowControl/>
        <w:spacing w:line="320" w:lineRule="exact"/>
        <w:jc w:val="center"/>
        <w:rPr>
          <w:rFonts w:ascii="宋体" w:hAnsi="宋体" w:eastAsia="等线" w:cs="宋体"/>
          <w:color w:val="000000"/>
          <w:sz w:val="24"/>
          <w:szCs w:val="24"/>
        </w:rPr>
      </w:pPr>
      <w:r>
        <w:rPr>
          <w:rFonts w:hint="eastAsia" w:ascii="宋体" w:hAnsi="宋体" w:eastAsia="等线" w:cs="宋体"/>
          <w:color w:val="000000"/>
          <w:sz w:val="24"/>
          <w:szCs w:val="24"/>
        </w:rPr>
        <w:br w:type="page"/>
      </w:r>
      <w:r>
        <w:rPr>
          <w:rFonts w:hint="eastAsia" w:ascii="宋体" w:hAnsi="宋体" w:eastAsia="等线" w:cs="宋体"/>
          <w:color w:val="000000"/>
          <w:sz w:val="24"/>
          <w:szCs w:val="24"/>
        </w:rPr>
        <w:t>教育事业发展和人力资源开发主要预期指标</w:t>
      </w:r>
    </w:p>
    <w:p>
      <w:pPr>
        <w:spacing w:line="500" w:lineRule="exact"/>
        <w:ind w:firstLine="480" w:firstLineChars="200"/>
        <w:jc w:val="right"/>
        <w:rPr>
          <w:rFonts w:ascii="楷体" w:hAnsi="楷体" w:eastAsia="楷体" w:cs="楷体"/>
          <w:sz w:val="28"/>
          <w:szCs w:val="28"/>
        </w:rPr>
      </w:pPr>
      <w:r>
        <w:rPr>
          <w:rFonts w:hint="eastAsia" w:ascii="楷体" w:hAnsi="楷体" w:eastAsia="楷体" w:cs="楷体"/>
          <w:color w:val="000000"/>
          <w:sz w:val="24"/>
          <w:szCs w:val="24"/>
        </w:rPr>
        <w:t>单位：%</w:t>
      </w:r>
    </w:p>
    <w:tbl>
      <w:tblPr>
        <w:tblW w:w="8940"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left w:w="108" w:type="dxa"/>
          <w:right w:w="108" w:type="dxa"/>
        </w:tblCellMar>
      </w:tblPr>
      <w:tblGrid>
        <w:gridCol w:w="4164"/>
        <w:gridCol w:w="1417"/>
        <w:gridCol w:w="1697"/>
        <w:gridCol w:w="1662"/>
      </w:tblGrid>
      <w:tr>
        <w:trPr>
          <w:trHeight w:val="234" w:hRule="atLeast"/>
          <w:jc w:val="center"/>
        </w:trPr>
        <w:tc>
          <w:tcPr>
            <w:tcW w:w="4164"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宋体"/>
                <w:color w:val="000000"/>
                <w:sz w:val="24"/>
                <w:szCs w:val="24"/>
              </w:rPr>
              <w:t>指标</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201</w:t>
            </w:r>
            <w:r>
              <w:rPr>
                <w:rFonts w:hint="eastAsia" w:ascii="楷体" w:hAnsi="楷体" w:eastAsia="楷体" w:cs="宋体"/>
                <w:color w:val="000000"/>
                <w:sz w:val="24"/>
                <w:szCs w:val="24"/>
              </w:rPr>
              <w:t>7年</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2020</w:t>
            </w:r>
            <w:r>
              <w:rPr>
                <w:rFonts w:hint="eastAsia" w:ascii="楷体" w:hAnsi="楷体" w:eastAsia="楷体" w:cs="宋体"/>
                <w:color w:val="000000"/>
                <w:sz w:val="24"/>
                <w:szCs w:val="24"/>
              </w:rPr>
              <w:t>年</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2035</w:t>
            </w:r>
            <w:r>
              <w:rPr>
                <w:rFonts w:hint="eastAsia" w:ascii="楷体" w:hAnsi="楷体" w:eastAsia="楷体" w:cs="宋体"/>
                <w:color w:val="000000"/>
                <w:sz w:val="24"/>
                <w:szCs w:val="24"/>
              </w:rPr>
              <w:t>年</w:t>
            </w:r>
          </w:p>
        </w:tc>
      </w:tr>
      <w:tr>
        <w:trPr>
          <w:trHeight w:val="425"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学前教育毛入园率</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89（2015）</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宋体"/>
                <w:color w:val="000000"/>
                <w:sz w:val="24"/>
                <w:szCs w:val="24"/>
              </w:rPr>
              <w:t>95</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Times New Roman"/>
                <w:color w:val="000000"/>
                <w:sz w:val="24"/>
                <w:szCs w:val="24"/>
              </w:rPr>
              <w:t>&gt;</w:t>
            </w:r>
            <w:r>
              <w:rPr>
                <w:rFonts w:hint="eastAsia" w:ascii="楷体" w:hAnsi="楷体" w:eastAsia="楷体" w:cs="宋体"/>
                <w:color w:val="000000"/>
                <w:sz w:val="24"/>
                <w:szCs w:val="24"/>
              </w:rPr>
              <w:t>98</w:t>
            </w:r>
          </w:p>
        </w:tc>
      </w:tr>
      <w:tr>
        <w:trPr>
          <w:trHeight w:val="459"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九年义务教育巩固率</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Times New Roman"/>
                <w:color w:val="000000"/>
                <w:sz w:val="24"/>
                <w:szCs w:val="24"/>
              </w:rPr>
              <w:t>&gt;100</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保持高水平</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保持高水平</w:t>
            </w:r>
          </w:p>
        </w:tc>
      </w:tr>
      <w:tr>
        <w:trPr>
          <w:trHeight w:val="246"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域内义务教育均衡县（市、区）比例</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100</w:t>
            </w:r>
          </w:p>
        </w:tc>
        <w:tc>
          <w:tcPr>
            <w:tcW w:w="1697" w:type="dxa"/>
            <w:vAlign w:val="center"/>
          </w:tcPr>
          <w:p>
            <w:pPr>
              <w:widowControl/>
              <w:spacing w:line="320" w:lineRule="exact"/>
              <w:jc w:val="center"/>
              <w:rPr>
                <w:rFonts w:ascii="楷体" w:hAnsi="楷体" w:eastAsia="楷体" w:cs="宋体"/>
                <w:color w:val="000000"/>
                <w:sz w:val="24"/>
                <w:szCs w:val="24"/>
              </w:rPr>
            </w:pPr>
            <w:r>
              <w:rPr>
                <w:rFonts w:ascii="楷体" w:hAnsi="楷体" w:eastAsia="楷体" w:cs="宋体"/>
                <w:color w:val="000000"/>
                <w:sz w:val="24"/>
                <w:szCs w:val="24"/>
              </w:rPr>
              <w:t>100</w:t>
            </w:r>
          </w:p>
          <w:p>
            <w:pPr>
              <w:widowControl/>
              <w:spacing w:line="320" w:lineRule="exact"/>
              <w:jc w:val="center"/>
              <w:rPr>
                <w:rFonts w:ascii="楷体" w:hAnsi="楷体" w:eastAsia="楷体" w:cs="Times New Roman"/>
                <w:color w:val="000000"/>
                <w:sz w:val="24"/>
                <w:szCs w:val="24"/>
              </w:rPr>
            </w:pPr>
            <w:r>
              <w:rPr>
                <w:rFonts w:hint="eastAsia" w:ascii="楷体" w:hAnsi="楷体" w:eastAsia="楷体" w:cs="宋体"/>
                <w:color w:val="000000"/>
                <w:sz w:val="24"/>
                <w:szCs w:val="24"/>
              </w:rPr>
              <w:t>（基本均衡）</w:t>
            </w:r>
          </w:p>
        </w:tc>
        <w:tc>
          <w:tcPr>
            <w:tcW w:w="1662" w:type="dxa"/>
            <w:vAlign w:val="center"/>
          </w:tcPr>
          <w:p>
            <w:pPr>
              <w:widowControl/>
              <w:spacing w:line="320" w:lineRule="exact"/>
              <w:jc w:val="center"/>
              <w:rPr>
                <w:rFonts w:ascii="楷体" w:hAnsi="楷体" w:eastAsia="楷体" w:cs="宋体"/>
                <w:color w:val="000000"/>
                <w:sz w:val="24"/>
                <w:szCs w:val="24"/>
              </w:rPr>
            </w:pPr>
            <w:r>
              <w:rPr>
                <w:rFonts w:hint="eastAsia" w:ascii="楷体" w:hAnsi="楷体" w:eastAsia="楷体" w:cs="宋体"/>
                <w:color w:val="000000"/>
                <w:sz w:val="24"/>
                <w:szCs w:val="24"/>
              </w:rPr>
              <w:t>100</w:t>
            </w:r>
          </w:p>
          <w:p>
            <w:pPr>
              <w:widowControl/>
              <w:spacing w:line="320" w:lineRule="exact"/>
              <w:jc w:val="center"/>
              <w:rPr>
                <w:rFonts w:ascii="楷体" w:hAnsi="楷体" w:eastAsia="楷体" w:cs="Times New Roman"/>
                <w:color w:val="000000"/>
                <w:sz w:val="24"/>
                <w:szCs w:val="24"/>
              </w:rPr>
            </w:pPr>
            <w:r>
              <w:rPr>
                <w:rFonts w:hint="eastAsia" w:ascii="楷体" w:hAnsi="楷体" w:eastAsia="楷体" w:cs="宋体"/>
                <w:color w:val="000000"/>
                <w:sz w:val="24"/>
                <w:szCs w:val="24"/>
              </w:rPr>
              <w:t>（优质均衡）</w:t>
            </w:r>
          </w:p>
        </w:tc>
      </w:tr>
      <w:tr>
        <w:trPr>
          <w:trHeight w:val="445"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高中阶段毛入学率</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92（2015）</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95</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98</w:t>
            </w:r>
          </w:p>
        </w:tc>
      </w:tr>
      <w:tr>
        <w:trPr>
          <w:trHeight w:val="445" w:hRule="atLeast"/>
          <w:jc w:val="center"/>
        </w:trPr>
        <w:tc>
          <w:tcPr>
            <w:tcW w:w="4164" w:type="dxa"/>
            <w:vAlign w:val="center"/>
          </w:tcPr>
          <w:p>
            <w:pPr>
              <w:widowControl/>
              <w:spacing w:line="320" w:lineRule="exact"/>
              <w:jc w:val="left"/>
              <w:rPr>
                <w:rFonts w:ascii="楷体" w:hAnsi="楷体" w:eastAsia="楷体" w:cs="宋体"/>
                <w:color w:val="000000"/>
                <w:sz w:val="24"/>
                <w:szCs w:val="24"/>
              </w:rPr>
            </w:pPr>
            <w:r>
              <w:rPr>
                <w:rFonts w:hint="eastAsia" w:ascii="楷体" w:hAnsi="楷体" w:eastAsia="楷体" w:cs="宋体"/>
                <w:color w:val="000000"/>
                <w:sz w:val="24"/>
                <w:szCs w:val="24"/>
              </w:rPr>
              <w:t>残疾儿童义务教育阶段入学率</w:t>
            </w:r>
            <w:r>
              <w:rPr>
                <w:rStyle w:val="17"/>
                <w:rFonts w:ascii="楷体" w:hAnsi="楷体" w:cs="宋体"/>
                <w:color w:val="000000"/>
                <w:szCs w:val="24"/>
              </w:rPr>
              <w:footnoteReference w:id="12"/>
            </w:r>
          </w:p>
          <w:p>
            <w:pPr>
              <w:widowControl/>
              <w:spacing w:line="320" w:lineRule="exact"/>
              <w:jc w:val="left"/>
              <w:rPr>
                <w:rFonts w:ascii="楷体" w:hAnsi="楷体" w:eastAsia="楷体" w:cs="宋体"/>
                <w:color w:val="000000"/>
                <w:sz w:val="24"/>
                <w:szCs w:val="24"/>
              </w:rPr>
            </w:pPr>
            <w:r>
              <w:rPr>
                <w:rFonts w:hint="eastAsia" w:ascii="楷体" w:hAnsi="楷体" w:eastAsia="楷体" w:cs="宋体"/>
                <w:color w:val="000000"/>
                <w:sz w:val="24"/>
                <w:szCs w:val="24"/>
              </w:rPr>
              <w:t>残疾青少年高中阶段教育入学率</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95/65</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Times New Roman"/>
                <w:color w:val="000000"/>
                <w:sz w:val="24"/>
                <w:szCs w:val="24"/>
              </w:rPr>
              <w:t>98/</w:t>
            </w:r>
            <w:r>
              <w:rPr>
                <w:rFonts w:hint="eastAsia" w:ascii="楷体" w:hAnsi="楷体" w:eastAsia="楷体" w:cs="Times New Roman"/>
                <w:color w:val="000000"/>
                <w:sz w:val="24"/>
                <w:szCs w:val="24"/>
              </w:rPr>
              <w:t>75</w:t>
            </w:r>
          </w:p>
        </w:tc>
      </w:tr>
      <w:tr>
        <w:trPr>
          <w:trHeight w:val="445" w:hRule="atLeast"/>
          <w:jc w:val="center"/>
        </w:trPr>
        <w:tc>
          <w:tcPr>
            <w:tcW w:w="4164" w:type="dxa"/>
            <w:vAlign w:val="center"/>
          </w:tcPr>
          <w:p>
            <w:pPr>
              <w:widowControl/>
              <w:spacing w:line="320" w:lineRule="exact"/>
              <w:jc w:val="left"/>
              <w:rPr>
                <w:rFonts w:ascii="楷体" w:hAnsi="楷体" w:eastAsia="楷体" w:cs="宋体"/>
                <w:color w:val="000000"/>
                <w:sz w:val="24"/>
                <w:szCs w:val="24"/>
              </w:rPr>
            </w:pPr>
            <w:r>
              <w:rPr>
                <w:rFonts w:hint="eastAsia" w:ascii="楷体" w:hAnsi="楷体" w:eastAsia="楷体" w:cs="宋体"/>
                <w:color w:val="000000"/>
                <w:sz w:val="24"/>
                <w:szCs w:val="24"/>
              </w:rPr>
              <w:t>每十万人口在校大学生数（万人）</w:t>
            </w:r>
            <w:r>
              <w:rPr>
                <w:rStyle w:val="17"/>
                <w:rFonts w:ascii="楷体" w:hAnsi="楷体" w:cs="宋体"/>
                <w:color w:val="000000"/>
                <w:szCs w:val="24"/>
              </w:rPr>
              <w:footnoteReference w:id="13"/>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1</w:t>
            </w:r>
            <w:r>
              <w:rPr>
                <w:rFonts w:ascii="楷体" w:hAnsi="楷体" w:eastAsia="楷体" w:cs="Times New Roman"/>
                <w:color w:val="000000"/>
                <w:sz w:val="24"/>
                <w:szCs w:val="24"/>
              </w:rPr>
              <w:t>.</w:t>
            </w:r>
            <w:r>
              <w:rPr>
                <w:rFonts w:hint="eastAsia" w:ascii="楷体" w:hAnsi="楷体" w:eastAsia="楷体" w:cs="Times New Roman"/>
                <w:color w:val="000000"/>
                <w:sz w:val="24"/>
                <w:szCs w:val="24"/>
              </w:rPr>
              <w:t>06</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0.9</w:t>
            </w:r>
            <w:r>
              <w:rPr>
                <w:rFonts w:ascii="楷体" w:hAnsi="楷体" w:eastAsia="楷体" w:cs="Times New Roman"/>
                <w:color w:val="000000"/>
                <w:sz w:val="24"/>
                <w:szCs w:val="24"/>
              </w:rPr>
              <w:t>-1.08</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0.9</w:t>
            </w:r>
            <w:r>
              <w:rPr>
                <w:rFonts w:ascii="楷体" w:hAnsi="楷体" w:eastAsia="楷体" w:cs="Times New Roman"/>
                <w:color w:val="000000"/>
                <w:sz w:val="24"/>
                <w:szCs w:val="24"/>
              </w:rPr>
              <w:t>-1.1</w:t>
            </w:r>
          </w:p>
        </w:tc>
      </w:tr>
      <w:tr>
        <w:trPr>
          <w:trHeight w:val="570"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学前教育教师受过专业教育比例</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84</w:t>
            </w:r>
            <w:r>
              <w:rPr>
                <w:rFonts w:ascii="楷体" w:hAnsi="楷体" w:eastAsia="楷体" w:cs="Times New Roman"/>
                <w:color w:val="000000"/>
                <w:sz w:val="24"/>
                <w:szCs w:val="24"/>
              </w:rPr>
              <w:t>.00</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85</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&gt;95</w:t>
            </w:r>
          </w:p>
        </w:tc>
      </w:tr>
      <w:tr>
        <w:trPr>
          <w:trHeight w:val="234"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义务教育专任教师中本科以上学历比例</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宋体"/>
                <w:color w:val="000000"/>
                <w:sz w:val="24"/>
                <w:szCs w:val="24"/>
              </w:rPr>
              <w:t>75.39</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&gt;80</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&gt;95</w:t>
            </w:r>
          </w:p>
        </w:tc>
      </w:tr>
      <w:tr>
        <w:trPr>
          <w:trHeight w:val="553"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Times New Roman"/>
                <w:color w:val="000000"/>
                <w:sz w:val="24"/>
                <w:szCs w:val="24"/>
              </w:rPr>
              <w:t>职业教育双师型教师占专业教师比例</w:t>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36.34</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45</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60</w:t>
            </w:r>
          </w:p>
        </w:tc>
      </w:tr>
      <w:tr>
        <w:trPr>
          <w:trHeight w:val="234"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新增劳动力中受过高中阶段及以上教育比例</w:t>
            </w:r>
            <w:r>
              <w:rPr>
                <w:rStyle w:val="17"/>
                <w:rFonts w:ascii="楷体" w:hAnsi="楷体" w:cs="宋体"/>
                <w:color w:val="000000"/>
                <w:szCs w:val="24"/>
              </w:rPr>
              <w:footnoteReference w:id="14"/>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90</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95</w:t>
            </w:r>
          </w:p>
        </w:tc>
      </w:tr>
      <w:tr>
        <w:trPr>
          <w:trHeight w:val="246" w:hRule="atLeast"/>
          <w:jc w:val="center"/>
        </w:trPr>
        <w:tc>
          <w:tcPr>
            <w:tcW w:w="4164" w:type="dxa"/>
            <w:vAlign w:val="center"/>
          </w:tcPr>
          <w:p>
            <w:pPr>
              <w:widowControl/>
              <w:spacing w:line="320" w:lineRule="exact"/>
              <w:jc w:val="left"/>
              <w:rPr>
                <w:rFonts w:ascii="楷体" w:hAnsi="楷体" w:eastAsia="楷体" w:cs="Times New Roman"/>
                <w:color w:val="000000"/>
                <w:sz w:val="24"/>
                <w:szCs w:val="24"/>
              </w:rPr>
            </w:pPr>
            <w:r>
              <w:rPr>
                <w:rFonts w:hint="eastAsia" w:ascii="楷体" w:hAnsi="楷体" w:eastAsia="楷体" w:cs="宋体"/>
                <w:color w:val="000000"/>
                <w:sz w:val="24"/>
                <w:szCs w:val="24"/>
              </w:rPr>
              <w:t>主要劳动年龄人口平均受教育年限（年）</w:t>
            </w:r>
            <w:r>
              <w:rPr>
                <w:rStyle w:val="17"/>
                <w:rFonts w:ascii="楷体" w:hAnsi="楷体" w:cs="宋体"/>
                <w:color w:val="000000"/>
                <w:szCs w:val="24"/>
              </w:rPr>
              <w:footnoteReference w:id="15"/>
            </w:r>
          </w:p>
        </w:tc>
        <w:tc>
          <w:tcPr>
            <w:tcW w:w="1417" w:type="dxa"/>
            <w:vAlign w:val="center"/>
          </w:tcPr>
          <w:p>
            <w:pPr>
              <w:widowControl/>
              <w:spacing w:line="320" w:lineRule="exact"/>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w:t>
            </w:r>
          </w:p>
        </w:tc>
        <w:tc>
          <w:tcPr>
            <w:tcW w:w="1697"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11</w:t>
            </w:r>
          </w:p>
        </w:tc>
        <w:tc>
          <w:tcPr>
            <w:tcW w:w="1662" w:type="dxa"/>
            <w:vAlign w:val="center"/>
          </w:tcPr>
          <w:p>
            <w:pPr>
              <w:widowControl/>
              <w:spacing w:line="320" w:lineRule="exact"/>
              <w:jc w:val="center"/>
              <w:rPr>
                <w:rFonts w:ascii="楷体" w:hAnsi="楷体" w:eastAsia="楷体" w:cs="Times New Roman"/>
                <w:color w:val="000000"/>
                <w:sz w:val="24"/>
                <w:szCs w:val="24"/>
              </w:rPr>
            </w:pPr>
            <w:r>
              <w:rPr>
                <w:rFonts w:ascii="楷体" w:hAnsi="楷体" w:eastAsia="楷体" w:cs="宋体"/>
                <w:color w:val="000000"/>
                <w:sz w:val="24"/>
                <w:szCs w:val="24"/>
              </w:rPr>
              <w:t>12.5</w:t>
            </w:r>
          </w:p>
        </w:tc>
      </w:tr>
    </w:tbl>
    <w:p>
      <w:pPr>
        <w:widowControl/>
        <w:spacing w:line="240" w:lineRule="exact"/>
        <w:jc w:val="left"/>
        <w:rPr>
          <w:rFonts w:ascii="等线" w:hAnsi="等线" w:eastAsia="等线" w:cs="Times New Roman"/>
          <w:sz w:val="28"/>
          <w:szCs w:val="28"/>
        </w:rPr>
      </w:pPr>
    </w:p>
    <w:p>
      <w:pPr>
        <w:keepNext/>
        <w:keepLines/>
        <w:spacing w:beforeLines="100" w:afterLines="100" w:line="600" w:lineRule="exact"/>
        <w:ind w:firstLine="643" w:firstLineChars="200"/>
        <w:outlineLvl w:val="1"/>
        <w:rPr>
          <w:rFonts w:ascii="黑体" w:hAnsi="黑体" w:eastAsia="黑体" w:cs="Times New Roman"/>
          <w:b/>
          <w:bCs/>
          <w:kern w:val="0"/>
          <w:sz w:val="32"/>
          <w:szCs w:val="32"/>
        </w:rPr>
      </w:pPr>
      <w:bookmarkStart w:id="21" w:name="_Toc1027626"/>
      <w:bookmarkStart w:id="22" w:name="_Toc13949"/>
      <w:r>
        <w:rPr>
          <w:rFonts w:hint="eastAsia" w:ascii="黑体" w:hAnsi="黑体" w:eastAsia="黑体" w:cs="Times New Roman"/>
          <w:b/>
          <w:bCs/>
          <w:kern w:val="0"/>
          <w:sz w:val="32"/>
          <w:szCs w:val="32"/>
        </w:rPr>
        <w:t>四、主要任务</w:t>
      </w:r>
      <w:bookmarkEnd w:id="21"/>
      <w:bookmarkEnd w:id="22"/>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23" w:name="_Toc1027627"/>
      <w:bookmarkStart w:id="24" w:name="_Toc9175"/>
      <w:r>
        <w:rPr>
          <w:rFonts w:hint="eastAsia" w:ascii="楷体_GB2312" w:hAnsi="Calibri Light" w:eastAsia="楷体_GB2312" w:cs="Times New Roman"/>
          <w:b/>
          <w:bCs/>
          <w:kern w:val="0"/>
          <w:sz w:val="32"/>
          <w:szCs w:val="32"/>
        </w:rPr>
        <w:t>（一）</w:t>
      </w:r>
      <w:bookmarkEnd w:id="23"/>
      <w:r>
        <w:rPr>
          <w:rFonts w:hint="eastAsia" w:ascii="楷体_GB2312" w:hAnsi="Calibri Light" w:eastAsia="楷体_GB2312" w:cs="Times New Roman"/>
          <w:b/>
          <w:bCs/>
          <w:kern w:val="0"/>
          <w:sz w:val="32"/>
          <w:szCs w:val="32"/>
        </w:rPr>
        <w:t>落实立德树人根本任务，构建新时代德智体美劳全面培养的教育体系</w:t>
      </w:r>
      <w:bookmarkEnd w:id="24"/>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全面加强党对教育工作的领导，是推动教育现代化发展的根本保证。深入学习领会习近平总书记关于教育的重要论述，</w:t>
      </w:r>
      <w:r>
        <w:rPr>
          <w:rFonts w:ascii="仿宋_GB2312" w:hAnsi="仿宋" w:eastAsia="仿宋_GB2312" w:cs="Times New Roman"/>
          <w:sz w:val="32"/>
          <w:szCs w:val="32"/>
        </w:rPr>
        <w:t>把习近平新时代中国特色社会主义思想贯穿于教育改革和发展全过程，落实到教育现代化各领域各环节，创新教育理念和人才培养模式，实化发展素质教育，为学生</w:t>
      </w:r>
      <w:r>
        <w:rPr>
          <w:rFonts w:hint="eastAsia" w:ascii="仿宋_GB2312" w:hAnsi="仿宋" w:eastAsia="仿宋_GB2312" w:cs="Times New Roman"/>
          <w:sz w:val="32"/>
          <w:szCs w:val="32"/>
        </w:rPr>
        <w:t>“美好成长”奠基，</w:t>
      </w:r>
      <w:r>
        <w:rPr>
          <w:rFonts w:ascii="仿宋_GB2312" w:hAnsi="仿宋" w:eastAsia="仿宋_GB2312" w:cs="Times New Roman"/>
          <w:sz w:val="32"/>
          <w:szCs w:val="32"/>
        </w:rPr>
        <w:t>努力培养能够满足党、国家、人民以及时代需要的人才。</w:t>
      </w:r>
    </w:p>
    <w:p>
      <w:pPr>
        <w:spacing w:line="600" w:lineRule="exact"/>
        <w:ind w:firstLine="643" w:firstLineChars="200"/>
        <w:rPr>
          <w:rFonts w:ascii="仿宋_GB2312" w:hAnsi="仿宋" w:eastAsia="仿宋_GB2312" w:cs="Times New Roman"/>
          <w:b/>
          <w:sz w:val="32"/>
          <w:szCs w:val="32"/>
        </w:rPr>
      </w:pPr>
      <w:r>
        <w:rPr>
          <w:rFonts w:ascii="仿宋_GB2312" w:hAnsi="仿宋" w:eastAsia="仿宋_GB2312" w:cs="Times New Roman"/>
          <w:b/>
          <w:sz w:val="32"/>
          <w:szCs w:val="32"/>
        </w:rPr>
        <w:t>1.健全党对教育工作领导的体制机制</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以习近平新时代中国特色社会主义思想武装教育战线。</w:t>
      </w:r>
      <w:r>
        <w:rPr>
          <w:rFonts w:ascii="仿宋_GB2312" w:hAnsi="仿宋" w:eastAsia="仿宋_GB2312" w:cs="Times New Roman"/>
          <w:sz w:val="32"/>
          <w:szCs w:val="32"/>
        </w:rPr>
        <w:t>持续开展习近平新时代中国特色社会主义思想专题培训，坚持学用结合，更好地武装头脑、指导实践、推动工作。推动习近平新时代中国特色社会主义思想进教材进课堂进头脑，融入人才培养体系建设的所有环节，切实加强学校意识形态阵地管理。深化习近平新时代中国特色社会主义思想研究，推出一批高质量有深度有分量的成果。</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健全党管教育的体制机制。</w:t>
      </w:r>
      <w:r>
        <w:rPr>
          <w:rFonts w:ascii="仿宋_GB2312" w:hAnsi="仿宋" w:eastAsia="仿宋_GB2312" w:cs="Times New Roman"/>
          <w:sz w:val="32"/>
          <w:szCs w:val="32"/>
        </w:rPr>
        <w:t>切实加强党对教育工作的全面领导，统筹全市教育改革和发展。健全教育系统领导干部培养和选任机制，完善干部考核评价机制。加强教育系统基层党组织建设，加强对中小学、民办学校、公办高校、中外合作办学党建工作的分类指导。建立健全上级党委巡视巡察、纪检系统执纪问责和党内民主监督、干部经济责任审计等在内的党内监督机制，持之以恒正风肃纪，深入推进教育系统党风廉政建设和反腐败斗争。</w:t>
      </w:r>
    </w:p>
    <w:p>
      <w:pPr>
        <w:spacing w:line="600" w:lineRule="exact"/>
        <w:ind w:firstLine="643" w:firstLineChars="200"/>
        <w:rPr>
          <w:rFonts w:ascii="仿宋_GB2312" w:hAnsi="仿宋" w:eastAsia="仿宋_GB2312" w:cs="Times New Roman"/>
          <w:b/>
          <w:bCs/>
          <w:sz w:val="32"/>
          <w:szCs w:val="32"/>
        </w:rPr>
      </w:pPr>
      <w:r>
        <w:rPr>
          <w:rFonts w:ascii="仿宋_GB2312" w:hAnsi="仿宋" w:eastAsia="仿宋_GB2312" w:cs="Times New Roman"/>
          <w:b/>
          <w:bCs/>
          <w:sz w:val="32"/>
          <w:szCs w:val="32"/>
        </w:rPr>
        <w:t>2.深入推进大中小幼一体化的</w:t>
      </w:r>
      <w:r>
        <w:rPr>
          <w:rFonts w:hint="eastAsia" w:ascii="仿宋_GB2312" w:hAnsi="仿宋" w:eastAsia="仿宋_GB2312" w:cs="Times New Roman"/>
          <w:b/>
          <w:bCs/>
          <w:sz w:val="32"/>
          <w:szCs w:val="32"/>
        </w:rPr>
        <w:t>德育</w:t>
      </w:r>
      <w:r>
        <w:rPr>
          <w:rFonts w:ascii="仿宋_GB2312" w:hAnsi="仿宋" w:eastAsia="仿宋_GB2312" w:cs="Times New Roman"/>
          <w:b/>
          <w:bCs/>
          <w:sz w:val="32"/>
          <w:szCs w:val="32"/>
        </w:rPr>
        <w:t>体系建设</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深化推进大中小幼一体化德育内容体系。</w:t>
      </w:r>
      <w:r>
        <w:rPr>
          <w:rFonts w:ascii="仿宋_GB2312" w:hAnsi="仿宋" w:eastAsia="仿宋_GB2312" w:cs="Times New Roman"/>
          <w:sz w:val="32"/>
          <w:szCs w:val="32"/>
        </w:rPr>
        <w:t>完善以政治认同、国家意识、文化自信、人格养成为重点的大中小幼一体化德育顶层内容框架，</w:t>
      </w:r>
      <w:r>
        <w:rPr>
          <w:rFonts w:ascii="仿宋_GB2312" w:hAnsi="仿宋" w:eastAsia="仿宋_GB2312" w:cs="Times New Roman"/>
          <w:bCs/>
          <w:sz w:val="32"/>
          <w:szCs w:val="32"/>
        </w:rPr>
        <w:t>健全大中小幼分学段德育内容序列，</w:t>
      </w:r>
      <w:r>
        <w:rPr>
          <w:rFonts w:ascii="仿宋_GB2312" w:hAnsi="仿宋" w:eastAsia="仿宋_GB2312" w:cs="Times New Roman"/>
          <w:sz w:val="32"/>
          <w:szCs w:val="32"/>
        </w:rPr>
        <w:t>深入开展理想信念教育、爱国主义教育和革命传统教育，加强国防教育和生涯教育，增强学生生态文明素养，将法治教育纳入国民教育体系，使尊法学法守法用法成为青少年的共同追求和自觉行动。健全协同推进德育的长效机制，建立面向全体市民的中华优秀传统文化社会教育体系，弘扬中原文化和郑州城市精神。</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深入推进大中小幼一体化德育课程建设。</w:t>
      </w:r>
      <w:r>
        <w:rPr>
          <w:rFonts w:ascii="仿宋_GB2312" w:hAnsi="仿宋" w:eastAsia="仿宋_GB2312" w:cs="Times New Roman"/>
          <w:sz w:val="32"/>
          <w:szCs w:val="32"/>
        </w:rPr>
        <w:t>以社会主义核心价值观为引领，深化中小学以德育学科为核心的学科德育教育教学改革，深化高校以思政课为核心的课程思政教育教学改革，使各类课程与思政课、德育课在价值教育引导上同向同行，形成协同效应。持续推进红色领航</w:t>
      </w:r>
      <w:r>
        <w:rPr>
          <w:rFonts w:hint="eastAsia" w:ascii="仿宋_GB2312" w:hAnsi="仿宋" w:eastAsia="仿宋_GB2312" w:cs="Times New Roman"/>
          <w:sz w:val="32"/>
          <w:szCs w:val="32"/>
        </w:rPr>
        <w:t>，</w:t>
      </w:r>
      <w:r>
        <w:rPr>
          <w:rFonts w:ascii="仿宋_GB2312" w:hAnsi="仿宋" w:eastAsia="仿宋_GB2312" w:cs="Times New Roman"/>
          <w:sz w:val="32"/>
          <w:szCs w:val="32"/>
        </w:rPr>
        <w:t>建设一批课程思政和学科德育领航学校、领航学院、领航团队、领航课程。建立大中小学思政课和德育课教学指导委员会，发挥一体化研究、咨询、指导、协调、评估、服务功能。</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深入推进大中小幼一体化德育工作体系。</w:t>
      </w:r>
      <w:r>
        <w:rPr>
          <w:rFonts w:hint="eastAsia" w:ascii="仿宋_GB2312" w:hAnsi="仿宋" w:eastAsia="仿宋_GB2312" w:cs="Times New Roman"/>
          <w:sz w:val="32"/>
          <w:szCs w:val="32"/>
        </w:rPr>
        <w:t>实施“三全育人”综合改革，</w:t>
      </w:r>
      <w:r>
        <w:rPr>
          <w:rFonts w:ascii="仿宋_GB2312" w:hAnsi="仿宋" w:eastAsia="仿宋_GB2312" w:cs="Times New Roman"/>
          <w:sz w:val="32"/>
          <w:szCs w:val="32"/>
        </w:rPr>
        <w:t>推进大中小幼纵向衔接、课内课外网上网下横向贯通</w:t>
      </w:r>
      <w:r>
        <w:rPr>
          <w:rFonts w:hint="eastAsia" w:ascii="仿宋_GB2312" w:hAnsi="仿宋" w:eastAsia="仿宋_GB2312" w:cs="Times New Roman"/>
          <w:sz w:val="32"/>
          <w:szCs w:val="32"/>
        </w:rPr>
        <w:t>，健全学校家庭社会协同育人机制，办好家长学校，发挥好社区作用。</w:t>
      </w:r>
      <w:r>
        <w:rPr>
          <w:rFonts w:ascii="仿宋_GB2312" w:hAnsi="仿宋" w:eastAsia="仿宋_GB2312" w:cs="Times New Roman"/>
          <w:sz w:val="32"/>
          <w:szCs w:val="32"/>
        </w:rPr>
        <w:t>构建新时代校外育人共同体，形成全社会共同参与的育人机制，建立健全校外教育体系。建立健全大中小幼一体化德育评价体系</w:t>
      </w:r>
      <w:r>
        <w:rPr>
          <w:rFonts w:hint="eastAsia" w:ascii="仿宋_GB2312" w:hAnsi="仿宋" w:eastAsia="仿宋_GB2312" w:cs="Times New Roman"/>
          <w:sz w:val="32"/>
          <w:szCs w:val="32"/>
        </w:rPr>
        <w:t>。</w:t>
      </w:r>
    </w:p>
    <w:p>
      <w:pPr>
        <w:spacing w:line="600" w:lineRule="exact"/>
        <w:ind w:firstLine="643" w:firstLineChars="200"/>
        <w:rPr>
          <w:rFonts w:ascii="仿宋_GB2312" w:hAnsi="仿宋" w:eastAsia="仿宋_GB2312" w:cs="Times New Roman"/>
          <w:b/>
          <w:bCs/>
          <w:sz w:val="32"/>
          <w:szCs w:val="32"/>
        </w:rPr>
      </w:pPr>
      <w:r>
        <w:rPr>
          <w:rFonts w:ascii="仿宋_GB2312" w:hAnsi="仿宋" w:eastAsia="仿宋_GB2312" w:cs="Times New Roman"/>
          <w:b/>
          <w:bCs/>
          <w:sz w:val="32"/>
          <w:szCs w:val="32"/>
        </w:rPr>
        <w:t>3.构建德智体美劳</w:t>
      </w:r>
      <w:r>
        <w:rPr>
          <w:rFonts w:hint="eastAsia" w:ascii="仿宋_GB2312" w:hAnsi="仿宋" w:eastAsia="仿宋_GB2312" w:cs="Times New Roman"/>
          <w:b/>
          <w:bCs/>
          <w:sz w:val="32"/>
          <w:szCs w:val="32"/>
        </w:rPr>
        <w:t>全面发展的</w:t>
      </w:r>
      <w:r>
        <w:rPr>
          <w:rFonts w:ascii="仿宋_GB2312" w:hAnsi="仿宋" w:eastAsia="仿宋_GB2312" w:cs="Times New Roman"/>
          <w:b/>
          <w:bCs/>
          <w:sz w:val="32"/>
          <w:szCs w:val="32"/>
        </w:rPr>
        <w:t>培养体系</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发展具有时代特征的素质教育。</w:t>
      </w:r>
      <w:r>
        <w:rPr>
          <w:rFonts w:ascii="仿宋_GB2312" w:hAnsi="仿宋" w:eastAsia="仿宋_GB2312" w:cs="Times New Roman"/>
          <w:sz w:val="32"/>
          <w:szCs w:val="32"/>
        </w:rPr>
        <w:t>加强教育思想研究，加强基于学习科学、脑科学以及新技术推动学与教变革等方面的基础性研究平台与长周期试验基地建设，夯实学生科学文化基础知识和基本技能，</w:t>
      </w:r>
      <w:r>
        <w:rPr>
          <w:rFonts w:hint="eastAsia" w:ascii="仿宋" w:hAnsi="仿宋" w:eastAsia="仿宋"/>
          <w:b w:val="0"/>
          <w:bCs/>
          <w:sz w:val="32"/>
        </w:rPr>
        <w:t>强化文明行为实践养成教育</w:t>
      </w:r>
      <w:r>
        <w:rPr>
          <w:rFonts w:hint="eastAsia" w:ascii="仿宋" w:hAnsi="仿宋" w:eastAsia="仿宋"/>
          <w:b w:val="0"/>
          <w:bCs/>
          <w:sz w:val="32"/>
          <w:lang w:eastAsia="zh-CN"/>
        </w:rPr>
        <w:t>，</w:t>
      </w:r>
      <w:r>
        <w:rPr>
          <w:rFonts w:ascii="仿宋_GB2312" w:hAnsi="仿宋" w:eastAsia="仿宋_GB2312" w:cs="Times New Roman"/>
          <w:sz w:val="32"/>
          <w:szCs w:val="32"/>
        </w:rPr>
        <w:t>健全各级教育学生的生涯和学涯规划教育及指导服务</w:t>
      </w:r>
      <w:r>
        <w:rPr>
          <w:rFonts w:hint="eastAsia" w:ascii="仿宋_GB2312" w:hAnsi="仿宋" w:eastAsia="仿宋_GB2312" w:cs="Times New Roman"/>
          <w:sz w:val="32"/>
          <w:szCs w:val="32"/>
        </w:rPr>
        <w:t>，构建“美好成长”育人工作体系，</w:t>
      </w:r>
      <w:r>
        <w:rPr>
          <w:rFonts w:ascii="仿宋_GB2312" w:hAnsi="仿宋" w:eastAsia="仿宋_GB2312" w:cs="Times New Roman"/>
          <w:sz w:val="32"/>
          <w:szCs w:val="32"/>
        </w:rPr>
        <w:t>培育学生终身发展、适应时代要求的认知、合作、创新、职业四大关键能力以及符合郑州城市建设要求的能力。</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推进学校体育改革</w:t>
      </w:r>
      <w:r>
        <w:rPr>
          <w:rFonts w:ascii="仿宋_GB2312" w:hAnsi="仿宋" w:eastAsia="仿宋_GB2312" w:cs="Times New Roman"/>
          <w:sz w:val="32"/>
          <w:szCs w:val="32"/>
        </w:rPr>
        <w:t>。</w:t>
      </w:r>
      <w:r>
        <w:rPr>
          <w:rFonts w:hint="eastAsia" w:ascii="仿宋_GB2312" w:hAnsi="仿宋" w:eastAsia="仿宋_GB2312" w:cs="Times New Roman"/>
          <w:sz w:val="32"/>
          <w:szCs w:val="32"/>
        </w:rPr>
        <w:t>树立健康第一的教育理念，在体育锻炼中享受乐趣、增强体质、健全人格、锤炼意志。</w:t>
      </w:r>
      <w:r>
        <w:rPr>
          <w:rFonts w:ascii="仿宋_GB2312" w:hAnsi="仿宋" w:eastAsia="仿宋_GB2312" w:cs="Times New Roman"/>
          <w:sz w:val="32"/>
          <w:szCs w:val="32"/>
        </w:rPr>
        <w:t>建立健全各级学生体质健康素养指标与监测研究及干预系统</w:t>
      </w:r>
      <w:r>
        <w:rPr>
          <w:rFonts w:hint="eastAsia" w:ascii="仿宋_GB2312" w:hAnsi="仿宋" w:eastAsia="仿宋_GB2312" w:cs="Times New Roman"/>
          <w:sz w:val="32"/>
          <w:szCs w:val="32"/>
        </w:rPr>
        <w:t>，</w:t>
      </w:r>
      <w:r>
        <w:rPr>
          <w:rFonts w:ascii="仿宋_GB2312" w:hAnsi="仿宋" w:eastAsia="仿宋_GB2312" w:cs="Times New Roman"/>
          <w:sz w:val="32"/>
          <w:szCs w:val="32"/>
        </w:rPr>
        <w:t>加强幼儿体质健康监测</w:t>
      </w:r>
      <w:r>
        <w:rPr>
          <w:rFonts w:hint="eastAsia" w:ascii="仿宋_GB2312" w:hAnsi="仿宋" w:eastAsia="仿宋_GB2312" w:cs="Times New Roman"/>
          <w:sz w:val="32"/>
          <w:szCs w:val="32"/>
        </w:rPr>
        <w:t>，促进</w:t>
      </w:r>
      <w:r>
        <w:rPr>
          <w:rFonts w:ascii="仿宋_GB2312" w:hAnsi="仿宋" w:eastAsia="仿宋_GB2312" w:cs="Times New Roman"/>
          <w:sz w:val="32"/>
          <w:szCs w:val="32"/>
        </w:rPr>
        <w:t>义务教育阶段学生掌握必要的运动技能并养成锻炼的兴趣爱好</w:t>
      </w:r>
      <w:r>
        <w:rPr>
          <w:rFonts w:hint="eastAsia" w:ascii="仿宋_GB2312" w:hAnsi="仿宋" w:eastAsia="仿宋_GB2312" w:cs="Times New Roman"/>
          <w:sz w:val="32"/>
          <w:szCs w:val="32"/>
        </w:rPr>
        <w:t>，</w:t>
      </w:r>
      <w:r>
        <w:rPr>
          <w:rFonts w:ascii="仿宋_GB2312" w:hAnsi="仿宋" w:eastAsia="仿宋_GB2312" w:cs="Times New Roman"/>
          <w:sz w:val="32"/>
          <w:szCs w:val="32"/>
        </w:rPr>
        <w:t>培养高中教育阶段学生的运动特长</w:t>
      </w:r>
      <w:r>
        <w:rPr>
          <w:rFonts w:hint="eastAsia" w:ascii="仿宋_GB2312" w:hAnsi="仿宋" w:eastAsia="仿宋_GB2312" w:cs="Times New Roman"/>
          <w:sz w:val="32"/>
          <w:szCs w:val="32"/>
        </w:rPr>
        <w:t>，</w:t>
      </w:r>
      <w:r>
        <w:rPr>
          <w:rFonts w:ascii="仿宋_GB2312" w:hAnsi="仿宋" w:eastAsia="仿宋_GB2312" w:cs="Times New Roman"/>
          <w:sz w:val="32"/>
          <w:szCs w:val="32"/>
        </w:rPr>
        <w:t>引导大学生持续提高专项体育技能，把体育欣赏和身体锻炼转化为终身生活方式。提高各级各类学校开设体育运动项目的种类</w:t>
      </w:r>
      <w:r>
        <w:rPr>
          <w:rFonts w:hint="eastAsia" w:ascii="仿宋_GB2312" w:hAnsi="仿宋" w:eastAsia="仿宋_GB2312" w:cs="Times New Roman"/>
          <w:sz w:val="32"/>
          <w:szCs w:val="32"/>
        </w:rPr>
        <w:t>，</w:t>
      </w:r>
      <w:r>
        <w:rPr>
          <w:rFonts w:ascii="仿宋_GB2312" w:hAnsi="仿宋" w:eastAsia="仿宋_GB2312" w:cs="Times New Roman"/>
          <w:sz w:val="32"/>
          <w:szCs w:val="32"/>
        </w:rPr>
        <w:t>提高社区体育运动场所资源利用率</w:t>
      </w:r>
      <w:r>
        <w:rPr>
          <w:rFonts w:hint="eastAsia" w:ascii="仿宋_GB2312" w:hAnsi="仿宋" w:eastAsia="仿宋_GB2312" w:cs="Times New Roman"/>
          <w:sz w:val="32"/>
          <w:szCs w:val="32"/>
        </w:rPr>
        <w:t>，</w:t>
      </w:r>
      <w:r>
        <w:rPr>
          <w:rFonts w:ascii="仿宋_GB2312" w:hAnsi="仿宋" w:eastAsia="仿宋_GB2312" w:cs="Times New Roman"/>
          <w:sz w:val="32"/>
          <w:szCs w:val="32"/>
        </w:rPr>
        <w:t>提高体育特长生训练水平</w:t>
      </w:r>
      <w:r>
        <w:rPr>
          <w:rFonts w:hint="eastAsia" w:ascii="仿宋_GB2312" w:hAnsi="仿宋" w:eastAsia="仿宋_GB2312" w:cs="Times New Roman"/>
          <w:sz w:val="32"/>
          <w:szCs w:val="32"/>
        </w:rPr>
        <w:t>，</w:t>
      </w:r>
      <w:r>
        <w:rPr>
          <w:rFonts w:ascii="仿宋_GB2312" w:hAnsi="仿宋" w:eastAsia="仿宋_GB2312" w:cs="Times New Roman"/>
          <w:sz w:val="32"/>
          <w:szCs w:val="32"/>
        </w:rPr>
        <w:t>大力发展青少年足球运动。</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全面提升学生艺术素养</w:t>
      </w:r>
      <w:r>
        <w:rPr>
          <w:rFonts w:ascii="仿宋_GB2312" w:hAnsi="仿宋" w:eastAsia="仿宋_GB2312" w:cs="Times New Roman"/>
          <w:sz w:val="32"/>
          <w:szCs w:val="32"/>
        </w:rPr>
        <w:t>。加强中华优秀文化传承教育，全面推进中小学艺术类课程改革，完善艺术素养评价机制，引导每位学生</w:t>
      </w:r>
      <w:r>
        <w:rPr>
          <w:rFonts w:hint="eastAsia" w:ascii="仿宋_GB2312" w:hAnsi="仿宋" w:eastAsia="仿宋_GB2312" w:cs="Times New Roman"/>
          <w:sz w:val="32"/>
          <w:szCs w:val="32"/>
        </w:rPr>
        <w:t>具有多样的</w:t>
      </w:r>
      <w:r>
        <w:rPr>
          <w:rFonts w:ascii="仿宋_GB2312" w:hAnsi="仿宋" w:eastAsia="仿宋_GB2312" w:cs="Times New Roman"/>
          <w:sz w:val="32"/>
          <w:szCs w:val="32"/>
        </w:rPr>
        <w:t>艺术爱好、艺术技能。大幅提高拥有3个以上艺术特色项目的中小学学校比例。深化文教结合，推进社会艺术场馆、专业院团与学校艺术教育相结合。建立高水平学生艺术团队。鼓励艺术院校与艺术特色学校、知名文化教育机构建立合作机制，探索产、学、研、用一体化的艺术人才培养新模式。</w:t>
      </w:r>
    </w:p>
    <w:p>
      <w:pPr>
        <w:spacing w:line="600" w:lineRule="exact"/>
        <w:ind w:firstLine="643" w:firstLineChars="200"/>
        <w:rPr>
          <w:rFonts w:ascii="仿宋_GB2312" w:hAnsi="仿宋" w:eastAsia="仿宋_GB2312" w:cs="Times New Roman"/>
          <w:b/>
          <w:bCs/>
          <w:sz w:val="32"/>
          <w:szCs w:val="32"/>
        </w:rPr>
      </w:pPr>
      <w:r>
        <w:rPr>
          <w:rFonts w:ascii="仿宋_GB2312" w:hAnsi="仿宋" w:eastAsia="仿宋_GB2312" w:cs="Times New Roman"/>
          <w:b/>
          <w:bCs/>
          <w:sz w:val="32"/>
          <w:szCs w:val="32"/>
        </w:rPr>
        <w:t>增强青少年科学素养。</w:t>
      </w:r>
      <w:r>
        <w:rPr>
          <w:rFonts w:ascii="仿宋_GB2312" w:hAnsi="仿宋" w:eastAsia="仿宋_GB2312" w:cs="Times New Roman"/>
          <w:sz w:val="32"/>
          <w:szCs w:val="32"/>
        </w:rPr>
        <w:t>推进学生科学素养指标体系建设，鼓励学生参加科普活动，通过举办青少年科技节、开设多个科技特色项目和科技社团等方式推动学校科技创新特色教育建设，培育青少年的科学意识</w:t>
      </w:r>
      <w:r>
        <w:rPr>
          <w:rFonts w:hint="eastAsia" w:ascii="仿宋_GB2312" w:hAnsi="仿宋" w:eastAsia="仿宋_GB2312" w:cs="Times New Roman"/>
          <w:sz w:val="32"/>
          <w:szCs w:val="32"/>
        </w:rPr>
        <w:t>、</w:t>
      </w:r>
      <w:r>
        <w:rPr>
          <w:rFonts w:ascii="仿宋_GB2312" w:hAnsi="仿宋" w:eastAsia="仿宋_GB2312" w:cs="Times New Roman"/>
          <w:sz w:val="32"/>
          <w:szCs w:val="32"/>
        </w:rPr>
        <w:t>科学兴趣和科学精神，引导学生以实际行动加入科技创新的实践行列，鼓励青少年应用科技知识分析和解决生活中的实际问题</w:t>
      </w:r>
      <w:r>
        <w:rPr>
          <w:rFonts w:hint="eastAsia" w:ascii="仿宋_GB2312" w:hAnsi="仿宋" w:eastAsia="仿宋_GB2312" w:cs="Times New Roman"/>
          <w:sz w:val="32"/>
          <w:szCs w:val="32"/>
        </w:rPr>
        <w:t>，形成一大批具备科学家潜质的青少年群体</w:t>
      </w:r>
      <w:r>
        <w:rPr>
          <w:rFonts w:ascii="仿宋_GB2312" w:hAnsi="仿宋" w:eastAsia="仿宋_GB2312" w:cs="Times New Roman"/>
          <w:sz w:val="32"/>
          <w:szCs w:val="32"/>
        </w:rPr>
        <w:t>。加强理科教育</w:t>
      </w:r>
      <w:r>
        <w:rPr>
          <w:rFonts w:hint="eastAsia" w:ascii="仿宋_GB2312" w:hAnsi="仿宋" w:eastAsia="仿宋_GB2312" w:cs="Times New Roman"/>
          <w:sz w:val="32"/>
          <w:szCs w:val="32"/>
        </w:rPr>
        <w:t>，</w:t>
      </w:r>
      <w:r>
        <w:rPr>
          <w:rFonts w:ascii="仿宋_GB2312" w:hAnsi="仿宋" w:eastAsia="仿宋_GB2312" w:cs="Times New Roman"/>
          <w:sz w:val="32"/>
          <w:szCs w:val="32"/>
        </w:rPr>
        <w:t>推进中小学创新实验室建设，加快学校科普课程建设。</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构建学校劳动教育工作新机制。</w:t>
      </w:r>
      <w:r>
        <w:rPr>
          <w:rFonts w:ascii="仿宋_GB2312" w:hAnsi="仿宋" w:eastAsia="仿宋_GB2312" w:cs="Times New Roman"/>
          <w:sz w:val="32"/>
          <w:szCs w:val="32"/>
        </w:rPr>
        <w:t>分学段细化课程教学、校内教育、校外实践、家务劳动等教育内涵，发挥劳动教育的树德、增智、强体、育美作用。构建学校家庭社会的协同机制，丰富劳动实践资源供给，促进教育与生产劳动、社会实践紧密结合，切实提升劳动教育成效。健全志愿服务体系和社会实践制度，实现大中小学生志愿者服务全员参与，支持高校将大学生参与社会实践活动（志愿服务和公益劳动）纳入培养方案。</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25" w:name="_Toc20124"/>
      <w:r>
        <w:rPr>
          <w:rFonts w:hint="eastAsia" w:ascii="楷体_GB2312" w:hAnsi="Calibri Light" w:eastAsia="楷体_GB2312" w:cs="Times New Roman"/>
          <w:b/>
          <w:bCs/>
          <w:kern w:val="0"/>
          <w:sz w:val="32"/>
          <w:szCs w:val="32"/>
        </w:rPr>
        <w:t>（二）创新教育供给有效方式，开创教育公共服务供给新局面</w:t>
      </w:r>
      <w:bookmarkEnd w:id="25"/>
    </w:p>
    <w:p>
      <w:pPr>
        <w:spacing w:line="600" w:lineRule="exact"/>
        <w:ind w:firstLine="643"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1．提高义务教育均等化水平</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健全学校标准化建设定期更新机制。</w:t>
      </w:r>
      <w:r>
        <w:rPr>
          <w:rFonts w:hint="eastAsia" w:ascii="仿宋_GB2312" w:hAnsi="仿宋" w:eastAsia="仿宋_GB2312" w:cs="Times New Roman"/>
          <w:sz w:val="32"/>
          <w:szCs w:val="32"/>
        </w:rPr>
        <w:t>立足郑州实际，完善更新义务教育阶段学校办学标准，建立学校办学标准动态调整机制。完善督导检查机制，不断提升城乡学校的办学条件、师资配置等水平，推进义务教育现代化学校建设，全面实现义务教育学校建设标准化。</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健全义务教育城乡一体化发展机制。</w:t>
      </w:r>
      <w:r>
        <w:rPr>
          <w:rFonts w:hint="eastAsia" w:ascii="仿宋_GB2312" w:hAnsi="仿宋" w:eastAsia="仿宋_GB2312" w:cs="Times New Roman"/>
          <w:sz w:val="32"/>
          <w:szCs w:val="32"/>
        </w:rPr>
        <w:t>健全城乡一体化的师资配备、经费保障、督导评估等机制。推动教育供给侧结构性改革，创新学区化集团化办学、学校联盟、“城乡携手发展”等方式，扩增优质教育资源总量，推进城乡义务教育优质均衡发展。加大对相对薄弱学校的支持力度，优质教育资源配置向郊区倾斜。</w:t>
      </w:r>
    </w:p>
    <w:p>
      <w:pPr>
        <w:spacing w:line="600" w:lineRule="exact"/>
        <w:ind w:firstLine="643"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2．落实随迁子女入学待遇同城化政策</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增加人口流入地学位供给。</w:t>
      </w:r>
      <w:r>
        <w:rPr>
          <w:rFonts w:hint="eastAsia" w:ascii="仿宋_GB2312" w:hAnsi="仿宋" w:eastAsia="仿宋_GB2312" w:cs="Times New Roman"/>
          <w:sz w:val="32"/>
          <w:szCs w:val="32"/>
        </w:rPr>
        <w:t>加快人口流入地学校建设，增强新增人口聚居区教育服务能力。坚持就近入学原则，完善随迁子女入学统筹机制，通过加大公办学校学位供给、向民办学校购买学位等方式，满足随迁子女入学需求。</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保障随迁子女平等享受基本公共教育服务。</w:t>
      </w:r>
      <w:r>
        <w:rPr>
          <w:rFonts w:hint="eastAsia" w:ascii="仿宋_GB2312" w:hAnsi="仿宋" w:eastAsia="仿宋_GB2312" w:cs="Times New Roman"/>
          <w:sz w:val="32"/>
          <w:szCs w:val="32"/>
        </w:rPr>
        <w:t>健全符合条件的随迁子女在流入地参加中、高考政策。健全农村留守儿童关爱服务体系，建立健全留守儿童台账制度并实施动态管理，重点加强对无人监护和双亲在外留守儿童的照顾和救助。</w:t>
      </w:r>
    </w:p>
    <w:p>
      <w:pPr>
        <w:spacing w:line="600" w:lineRule="exact"/>
        <w:ind w:firstLine="643"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3．提升困难学生帮扶水平</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健全从学前教育到研究生教育的困难家庭学生资助体系。</w:t>
      </w:r>
      <w:r>
        <w:rPr>
          <w:rFonts w:hint="eastAsia" w:ascii="仿宋_GB2312" w:hAnsi="仿宋" w:eastAsia="仿宋_GB2312" w:cs="Times New Roman"/>
          <w:sz w:val="32"/>
          <w:szCs w:val="32"/>
        </w:rPr>
        <w:t>严格工作流程，完善资助对象认定程序。建立科学完善的考评机制，强化监管工作，加强宣传力度，加强廉政教育，提高红线意识。拓宽资助途径，积极组织、引导和鼓励社会团体、企事业单位及社会各界爱心人士等投入到捐资助学的爱心事业当中，帮助更多的家庭经济困难学生公平接受教育。</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提升经济困难学生帮扶精准化水平。</w:t>
      </w:r>
      <w:r>
        <w:rPr>
          <w:rFonts w:hint="eastAsia" w:ascii="仿宋_GB2312" w:hAnsi="仿宋" w:eastAsia="仿宋_GB2312" w:cs="Times New Roman"/>
          <w:sz w:val="32"/>
          <w:szCs w:val="32"/>
        </w:rPr>
        <w:t>充分利用新信息新技术，建立全市统一的家庭经济困难学生数据库，做到精细识别，确保精准资助。对困难家庭学生实行普通高中及中高职免费就读政策，强化资助工作的育人功能，抓好励志教育、诚信教育、社会责任感教育。</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健全学习困难学生援助机制。</w:t>
      </w:r>
      <w:r>
        <w:rPr>
          <w:rFonts w:hint="eastAsia" w:ascii="仿宋_GB2312" w:hAnsi="仿宋" w:eastAsia="仿宋_GB2312" w:cs="Times New Roman"/>
          <w:sz w:val="32"/>
          <w:szCs w:val="32"/>
        </w:rPr>
        <w:t>建立市、县（区）、校三级学习困难学生援助中心，为受认知障碍、心理障碍等影响而又非残疾的学习困难学生提供全面、系统、专业的心理和教育援助，实现学有所教、因材施教。</w:t>
      </w:r>
    </w:p>
    <w:p>
      <w:pPr>
        <w:spacing w:line="600" w:lineRule="exact"/>
        <w:ind w:firstLine="643"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4．提高特殊教育保障水平</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建立现代</w:t>
      </w:r>
      <w:r>
        <w:rPr>
          <w:rFonts w:ascii="仿宋_GB2312" w:hAnsi="仿宋" w:eastAsia="仿宋_GB2312" w:cs="Times New Roman"/>
          <w:b/>
          <w:sz w:val="32"/>
          <w:szCs w:val="32"/>
        </w:rPr>
        <w:t>特殊教育体系。</w:t>
      </w:r>
      <w:r>
        <w:rPr>
          <w:rFonts w:ascii="仿宋_GB2312" w:hAnsi="仿宋" w:eastAsia="仿宋_GB2312" w:cs="Times New Roman"/>
          <w:sz w:val="32"/>
          <w:szCs w:val="32"/>
        </w:rPr>
        <w:t>全面实施特殊学生15年免费教育</w:t>
      </w:r>
      <w:r>
        <w:rPr>
          <w:rFonts w:hint="eastAsia" w:ascii="仿宋_GB2312" w:hAnsi="仿宋" w:eastAsia="仿宋_GB2312" w:cs="Times New Roman"/>
          <w:sz w:val="32"/>
          <w:szCs w:val="32"/>
        </w:rPr>
        <w:t>，构建布局合理、学段衔接、职普融通、医教结合的现代特殊教育体系，加强学前和高中阶段的特殊教育。不断完善特殊学生转介安置体制机制，健全特殊儿童少年转介安置指导机构建设，健全义务教育阶段特殊学校教育、普通学校随班就读教育、普通学校附设特教班教育和送教上门教育四级网络建设。</w:t>
      </w:r>
      <w:r>
        <w:rPr>
          <w:rFonts w:ascii="仿宋_GB2312" w:hAnsi="仿宋" w:eastAsia="仿宋_GB2312" w:cs="Times New Roman"/>
          <w:sz w:val="32"/>
          <w:szCs w:val="32"/>
        </w:rPr>
        <w:t>建立普通学校特殊教育工作评价体系。</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提高特殊教育资源保障水平。</w:t>
      </w:r>
      <w:r>
        <w:rPr>
          <w:rFonts w:hint="eastAsia" w:ascii="仿宋_GB2312" w:hAnsi="仿宋" w:eastAsia="仿宋_GB2312" w:cs="Times New Roman"/>
          <w:sz w:val="32"/>
          <w:szCs w:val="32"/>
        </w:rPr>
        <w:t>增强特殊教育经费保障能力，根据随班就读学生实际需要配足资源教室、设施设备和教学条件，完善随班就读与送教上门的保障机制。</w:t>
      </w:r>
      <w:r>
        <w:rPr>
          <w:rFonts w:ascii="仿宋_GB2312" w:hAnsi="仿宋" w:eastAsia="仿宋_GB2312" w:cs="Times New Roman"/>
          <w:sz w:val="32"/>
          <w:szCs w:val="32"/>
        </w:rPr>
        <w:t>推进各级各</w:t>
      </w:r>
      <w:r>
        <w:rPr>
          <w:rFonts w:hint="eastAsia" w:ascii="仿宋_GB2312" w:hAnsi="仿宋" w:eastAsia="仿宋_GB2312" w:cs="Times New Roman"/>
          <w:sz w:val="32"/>
          <w:szCs w:val="32"/>
        </w:rPr>
        <w:t>类学校无障碍环境建设，健全无障碍环境建设长效工作机制，加大无障碍设施配置和管理力度，为残疾儿童少年创造良好的学习和生活环境。建成特殊教育公共服务平台，</w:t>
      </w:r>
      <w:r>
        <w:rPr>
          <w:rFonts w:ascii="仿宋_GB2312" w:hAnsi="仿宋" w:eastAsia="仿宋_GB2312" w:cs="Times New Roman"/>
          <w:sz w:val="32"/>
          <w:szCs w:val="32"/>
        </w:rPr>
        <w:t>建立残疾儿童信息库，</w:t>
      </w:r>
      <w:r>
        <w:rPr>
          <w:rFonts w:hint="eastAsia" w:ascii="仿宋_GB2312" w:hAnsi="仿宋" w:eastAsia="仿宋_GB2312" w:cs="Times New Roman"/>
          <w:sz w:val="32"/>
          <w:szCs w:val="32"/>
        </w:rPr>
        <w:t>实现</w:t>
      </w:r>
      <w:r>
        <w:rPr>
          <w:rFonts w:ascii="仿宋_GB2312" w:hAnsi="仿宋" w:eastAsia="仿宋_GB2312" w:cs="Times New Roman"/>
          <w:sz w:val="32"/>
          <w:szCs w:val="32"/>
        </w:rPr>
        <w:t>实名制跟踪服务。</w:t>
      </w:r>
      <w:r>
        <w:rPr>
          <w:rFonts w:hint="eastAsia" w:ascii="仿宋_GB2312" w:hAnsi="仿宋" w:eastAsia="仿宋_GB2312" w:cs="Times New Roman"/>
          <w:sz w:val="32"/>
          <w:szCs w:val="32"/>
        </w:rPr>
        <w:t>逐步实现</w:t>
      </w:r>
      <w:r>
        <w:rPr>
          <w:rFonts w:ascii="仿宋_GB2312" w:hAnsi="仿宋" w:eastAsia="仿宋_GB2312" w:cs="Times New Roman"/>
          <w:sz w:val="32"/>
          <w:szCs w:val="32"/>
        </w:rPr>
        <w:t>特殊教育教师“双证上岗”制度</w:t>
      </w:r>
      <w:r>
        <w:rPr>
          <w:rFonts w:hint="eastAsia" w:ascii="仿宋_GB2312" w:hAnsi="仿宋" w:eastAsia="仿宋_GB2312" w:cs="Times New Roman"/>
          <w:sz w:val="32"/>
          <w:szCs w:val="32"/>
        </w:rPr>
        <w:t>。</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提升特殊教育教学质量。</w:t>
      </w:r>
      <w:r>
        <w:rPr>
          <w:rFonts w:hint="eastAsia" w:ascii="仿宋_GB2312" w:hAnsi="仿宋" w:eastAsia="仿宋_GB2312" w:cs="Times New Roman"/>
          <w:sz w:val="32"/>
          <w:szCs w:val="32"/>
        </w:rPr>
        <w:t>完善医教结合管理机制，健全医教结合干预机制，</w:t>
      </w:r>
      <w:r>
        <w:rPr>
          <w:rFonts w:ascii="仿宋_GB2312" w:hAnsi="仿宋" w:eastAsia="仿宋_GB2312" w:cs="Times New Roman"/>
          <w:sz w:val="32"/>
          <w:szCs w:val="32"/>
        </w:rPr>
        <w:t>提升医教结合</w:t>
      </w:r>
      <w:r>
        <w:rPr>
          <w:rFonts w:hint="eastAsia" w:ascii="仿宋_GB2312" w:hAnsi="仿宋" w:eastAsia="仿宋_GB2312" w:cs="Times New Roman"/>
          <w:sz w:val="32"/>
          <w:szCs w:val="32"/>
        </w:rPr>
        <w:t>服务水平</w:t>
      </w:r>
      <w:r>
        <w:rPr>
          <w:rFonts w:ascii="仿宋_GB2312" w:hAnsi="仿宋" w:eastAsia="仿宋_GB2312" w:cs="Times New Roman"/>
          <w:sz w:val="32"/>
          <w:szCs w:val="32"/>
        </w:rPr>
        <w:t>，实现残障儿童教育与康复的有机结合。</w:t>
      </w:r>
      <w:r>
        <w:rPr>
          <w:rFonts w:hint="eastAsia" w:ascii="仿宋_GB2312" w:hAnsi="仿宋" w:eastAsia="仿宋_GB2312" w:cs="Times New Roman"/>
          <w:sz w:val="32"/>
          <w:szCs w:val="32"/>
        </w:rPr>
        <w:t>全面推进融合教育，加强随班就读课程实施研究。提高特殊儿童评估、转介安置、个别化教育的效果。</w:t>
      </w:r>
    </w:p>
    <w:p>
      <w:pPr>
        <w:spacing w:line="600" w:lineRule="exact"/>
        <w:ind w:firstLine="643" w:firstLineChars="200"/>
        <w:rPr>
          <w:rFonts w:ascii="仿宋_GB2312" w:hAnsi="仿宋" w:eastAsia="仿宋_GB2312" w:cs="Times New Roman"/>
          <w:b/>
          <w:bCs/>
          <w:sz w:val="32"/>
          <w:szCs w:val="32"/>
        </w:rPr>
      </w:pPr>
      <w:bookmarkStart w:id="26" w:name="_Toc535747785"/>
      <w:bookmarkStart w:id="27" w:name="_Toc1373630"/>
      <w:r>
        <w:rPr>
          <w:rFonts w:hint="eastAsia" w:ascii="仿宋_GB2312" w:hAnsi="仿宋" w:eastAsia="仿宋_GB2312" w:cs="Times New Roman"/>
          <w:b/>
          <w:bCs/>
          <w:sz w:val="32"/>
          <w:szCs w:val="32"/>
        </w:rPr>
        <w:t>5</w:t>
      </w:r>
      <w:r>
        <w:rPr>
          <w:rFonts w:ascii="仿宋_GB2312" w:hAnsi="仿宋" w:eastAsia="仿宋_GB2312" w:cs="Times New Roman"/>
          <w:b/>
          <w:bCs/>
          <w:sz w:val="32"/>
          <w:szCs w:val="32"/>
        </w:rPr>
        <w:t>.探索跨界协作有效方式</w:t>
      </w:r>
      <w:bookmarkEnd w:id="26"/>
      <w:bookmarkEnd w:id="27"/>
      <w:r>
        <w:rPr>
          <w:rFonts w:hint="eastAsia" w:ascii="仿宋_GB2312" w:hAnsi="仿宋" w:eastAsia="仿宋_GB2312" w:cs="Times New Roman"/>
          <w:b/>
          <w:bCs/>
          <w:sz w:val="32"/>
          <w:szCs w:val="32"/>
        </w:rPr>
        <w:t>，</w:t>
      </w:r>
      <w:r>
        <w:rPr>
          <w:rFonts w:ascii="仿宋_GB2312" w:hAnsi="仿宋" w:eastAsia="仿宋_GB2312" w:cs="Times New Roman"/>
          <w:b/>
          <w:bCs/>
          <w:sz w:val="32"/>
          <w:szCs w:val="32"/>
        </w:rPr>
        <w:t>吸引社会各类资源共同提供多样化教育服务</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引导企业深度参与职业学校、高等学校服务资源供给。</w:t>
      </w:r>
      <w:r>
        <w:rPr>
          <w:rFonts w:ascii="仿宋_GB2312" w:hAnsi="仿宋" w:eastAsia="仿宋_GB2312" w:cs="Times New Roman"/>
          <w:sz w:val="32"/>
          <w:szCs w:val="32"/>
        </w:rPr>
        <w:t>深化职业教育集团化办学改革，以职教集团为平台和载体，推进校企合作联盟机制建设，构建校企互惠双赢的联动发展共同体。引导企业深度参与学校专业与课程设置、教材开发、实习实训等教学资源建设。探索购买服务、税收优惠等方式，依托或联合企业共建共享工作室、实验室、创新基地，打造一批高水平专业化产教融合实训基地，提高学生实践能力。鼓励行业、企业为创新性、发展型高端人才培养提供资源。</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bCs/>
          <w:sz w:val="32"/>
          <w:szCs w:val="32"/>
        </w:rPr>
        <w:t>促进科技、文化与教育协同发展。</w:t>
      </w:r>
      <w:r>
        <w:rPr>
          <w:rFonts w:ascii="仿宋_GB2312" w:hAnsi="仿宋" w:eastAsia="仿宋_GB2312" w:cs="Times New Roman"/>
          <w:sz w:val="32"/>
          <w:szCs w:val="32"/>
        </w:rPr>
        <w:t>促进科技资源的流动和优化配置，推动在郑高等院校对外开放共享科学设施、仪器设备、科学数据等优质教育资源。促进学校与科技开发机构、科技园区的资源共建共享，实现科教协同办学。围绕产业关键技术、核心工艺和共性问题，通过企业、学校、科研院所协同技术攻关，合作培育基础研究人才和</w:t>
      </w:r>
      <w:r>
        <w:rPr>
          <w:rFonts w:hint="eastAsia" w:ascii="仿宋_GB2312" w:hAnsi="仿宋" w:eastAsia="仿宋_GB2312" w:cs="Times New Roman"/>
          <w:sz w:val="32"/>
          <w:szCs w:val="32"/>
        </w:rPr>
        <w:t>应用</w:t>
      </w:r>
      <w:r>
        <w:rPr>
          <w:rFonts w:ascii="仿宋_GB2312" w:hAnsi="仿宋" w:eastAsia="仿宋_GB2312" w:cs="Times New Roman"/>
          <w:sz w:val="32"/>
          <w:szCs w:val="32"/>
        </w:rPr>
        <w:t>人才。深化科技创新体制改革，鼓励支持高校建立技术转移中心，</w:t>
      </w:r>
      <w:r>
        <w:rPr>
          <w:rFonts w:hint="eastAsia" w:ascii="仿宋_GB2312" w:hAnsi="仿宋" w:eastAsia="仿宋_GB2312" w:cs="Times New Roman"/>
          <w:sz w:val="32"/>
          <w:szCs w:val="32"/>
        </w:rPr>
        <w:t>加快推进大学科技园建设，</w:t>
      </w:r>
      <w:r>
        <w:rPr>
          <w:rFonts w:ascii="仿宋_GB2312" w:hAnsi="仿宋" w:eastAsia="仿宋_GB2312" w:cs="Times New Roman"/>
          <w:sz w:val="32"/>
          <w:szCs w:val="32"/>
        </w:rPr>
        <w:t>推动高校科技成果转化。建立一批高等院校、科研院所和文化创意企业联合共建人才实训基地。培育、引进一批知名文化创意人才培训机构，满足学生文化创意类学习需求。</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推进学校与社区教育资源的共建共享</w:t>
      </w:r>
      <w:r>
        <w:rPr>
          <w:rFonts w:ascii="仿宋_GB2312" w:hAnsi="仿宋" w:eastAsia="仿宋_GB2312" w:cs="Times New Roman"/>
          <w:sz w:val="32"/>
          <w:szCs w:val="32"/>
        </w:rPr>
        <w:t>。推进各级各类学校资源向公众开放，对接“15分钟”社区便民生活服务圈建设，有序开放中小学、高校和职业院校的图书馆、阅览室、实验实训室，定期开放学校运动场地和健身器材等体育设施。加强行业组织、职业院校与社区的合作，建立一批示范性培训基地或体验基地，为社区居民提供各类教育与培训服务。组织高校和职业院校教师到社区举行公益性讲座、专业技术辅导报告、职业技能培训等活动。将社区作为加强学生思想道德建设和社会实践的重要阵地，通过设立“社区服务体验岗位”和广泛开展多种公益活动，帮助学生了解社区人文环境和风俗习惯。</w:t>
      </w:r>
    </w:p>
    <w:p>
      <w:pPr>
        <w:spacing w:line="600" w:lineRule="exact"/>
        <w:ind w:firstLine="643" w:firstLineChars="200"/>
        <w:rPr>
          <w:rFonts w:ascii="仿宋_GB2312" w:hAnsi="仿宋" w:eastAsia="仿宋_GB2312" w:cs="Times New Roman"/>
          <w:b/>
          <w:bCs/>
          <w:sz w:val="32"/>
          <w:szCs w:val="32"/>
        </w:rPr>
      </w:pPr>
      <w:r>
        <w:rPr>
          <w:rFonts w:ascii="仿宋_GB2312" w:hAnsi="仿宋" w:eastAsia="仿宋_GB2312" w:cs="Times New Roman"/>
          <w:b/>
          <w:bCs/>
          <w:sz w:val="32"/>
          <w:szCs w:val="32"/>
        </w:rPr>
        <w:t>6.</w:t>
      </w:r>
      <w:r>
        <w:rPr>
          <w:rFonts w:hint="eastAsia" w:ascii="仿宋_GB2312" w:hAnsi="仿宋" w:eastAsia="仿宋_GB2312" w:cs="Times New Roman"/>
          <w:b/>
          <w:bCs/>
          <w:sz w:val="32"/>
          <w:szCs w:val="32"/>
        </w:rPr>
        <w:t>支持</w:t>
      </w:r>
      <w:r>
        <w:rPr>
          <w:rFonts w:ascii="仿宋_GB2312" w:hAnsi="仿宋" w:eastAsia="仿宋_GB2312" w:cs="Times New Roman"/>
          <w:b/>
          <w:bCs/>
          <w:sz w:val="32"/>
          <w:szCs w:val="32"/>
        </w:rPr>
        <w:t>和规范民办教育发展</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促进民办教育</w:t>
      </w:r>
      <w:r>
        <w:rPr>
          <w:rFonts w:hint="eastAsia" w:ascii="仿宋_GB2312" w:hAnsi="仿宋" w:eastAsia="仿宋_GB2312" w:cs="Times New Roman"/>
          <w:b/>
          <w:sz w:val="32"/>
          <w:szCs w:val="32"/>
        </w:rPr>
        <w:t>持续</w:t>
      </w:r>
      <w:r>
        <w:rPr>
          <w:rFonts w:ascii="仿宋_GB2312" w:hAnsi="仿宋" w:eastAsia="仿宋_GB2312" w:cs="Times New Roman"/>
          <w:b/>
          <w:sz w:val="32"/>
          <w:szCs w:val="32"/>
        </w:rPr>
        <w:t>健康发展。</w:t>
      </w:r>
      <w:r>
        <w:rPr>
          <w:rFonts w:ascii="仿宋_GB2312" w:hAnsi="仿宋" w:eastAsia="仿宋_GB2312" w:cs="Times New Roman"/>
          <w:sz w:val="32"/>
          <w:szCs w:val="32"/>
        </w:rPr>
        <w:t>建立健全非营利性、营利性民办学校分类管理体系，加大对非营利性民办学校的支持力度，推进郑州民办教育地方立法和配套文件的制定，完善分类管理的相关法律法规。</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健全民办学校发展支持机制。</w:t>
      </w:r>
      <w:r>
        <w:rPr>
          <w:rFonts w:ascii="仿宋_GB2312" w:hAnsi="仿宋" w:eastAsia="仿宋_GB2312" w:cs="Times New Roman"/>
          <w:sz w:val="32"/>
          <w:szCs w:val="32"/>
        </w:rPr>
        <w:t>深化民办高校“强师工程”、民办中小学特色校（项目）和优质园创建工作，提升民办学校师资水平和办学质量。制定民办教育人才培养专项计划。推进民办高校公共实训中心建设，支持有条件的民办高校开展专业硕士学位点申报，开展中高职、应用本科贯通培养改革，建设高水平民办高校和应用型特色高职。</w:t>
      </w:r>
      <w:r>
        <w:rPr>
          <w:rFonts w:hint="eastAsia" w:ascii="仿宋_GB2312" w:hAnsi="仿宋" w:eastAsia="仿宋_GB2312" w:cs="Times New Roman"/>
          <w:sz w:val="32"/>
          <w:szCs w:val="32"/>
        </w:rPr>
        <w:t>鼓励民办学校根据办学特点、办学实际探索现代学校制度，引导民办学校优化董事会（理事会）人员结构，建立健全监事会制度，完善法人治理结构。完善民办学校的资产和财务管理、信息公开、退出及举办者变更等制度，健全民办学校规范关键岗位选聘和办学风险防范机制。规范校外培训机构。</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28" w:name="_Toc7169"/>
      <w:r>
        <w:rPr>
          <w:rFonts w:hint="eastAsia" w:ascii="楷体_GB2312" w:hAnsi="Calibri Light" w:eastAsia="楷体_GB2312" w:cs="Times New Roman"/>
          <w:b/>
          <w:bCs/>
          <w:kern w:val="0"/>
          <w:sz w:val="32"/>
          <w:szCs w:val="32"/>
        </w:rPr>
        <w:t>（三）立足于高品质和有特色，实现各级各类教育发展新突破</w:t>
      </w:r>
      <w:bookmarkEnd w:id="28"/>
    </w:p>
    <w:p>
      <w:pPr>
        <w:spacing w:line="600" w:lineRule="exact"/>
        <w:ind w:firstLine="643" w:firstLineChars="200"/>
        <w:rPr>
          <w:rFonts w:ascii="楷体_GB2312" w:hAnsi="Calibri Light" w:eastAsia="楷体_GB2312" w:cs="Times New Roman"/>
          <w:b/>
          <w:bCs/>
          <w:kern w:val="0"/>
          <w:sz w:val="32"/>
          <w:szCs w:val="32"/>
        </w:rPr>
      </w:pPr>
      <w:bookmarkStart w:id="29" w:name="_Toc7792376"/>
      <w:bookmarkStart w:id="30" w:name="_Toc9842120"/>
      <w:r>
        <w:rPr>
          <w:rFonts w:hint="eastAsia" w:ascii="仿宋_GB2312" w:hAnsi="仿宋" w:eastAsia="仿宋_GB2312" w:cs="Times New Roman"/>
          <w:b/>
          <w:bCs/>
          <w:sz w:val="32"/>
          <w:szCs w:val="32"/>
        </w:rPr>
        <w:t>1</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实现学前教育优质普惠发展，为儿童早期发展提供有质量的保育教育</w:t>
      </w:r>
      <w:r>
        <w:rPr>
          <w:rFonts w:ascii="楷体_GB2312" w:hAnsi="Calibri Light" w:eastAsia="楷体_GB2312" w:cs="Times New Roman"/>
          <w:b/>
          <w:bCs/>
          <w:kern w:val="0"/>
          <w:sz w:val="28"/>
          <w:szCs w:val="32"/>
          <w:vertAlign w:val="superscript"/>
        </w:rPr>
        <w:footnoteReference w:id="16"/>
      </w:r>
      <w:bookmarkEnd w:id="29"/>
      <w:bookmarkEnd w:id="30"/>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学前教育是基础教育的重要组成部分</w:t>
      </w:r>
      <w:r>
        <w:rPr>
          <w:rFonts w:hint="eastAsia" w:ascii="仿宋_GB2312" w:hAnsi="仿宋" w:eastAsia="仿宋_GB2312" w:cs="Times New Roman"/>
          <w:sz w:val="32"/>
          <w:szCs w:val="32"/>
        </w:rPr>
        <w:t>，是惠及民生、集聚人才、提高国民素质的基础工程。建立与国家中心城市建设相适应的学前教育公共服务体系，形成0-</w:t>
      </w:r>
      <w:r>
        <w:rPr>
          <w:rFonts w:ascii="仿宋_GB2312" w:hAnsi="仿宋" w:eastAsia="仿宋_GB2312" w:cs="Times New Roman"/>
          <w:sz w:val="32"/>
          <w:szCs w:val="32"/>
        </w:rPr>
        <w:t>6岁学前教育一体化发展格局</w:t>
      </w:r>
      <w:r>
        <w:rPr>
          <w:rFonts w:hint="eastAsia" w:ascii="仿宋_GB2312" w:hAnsi="仿宋" w:eastAsia="仿宋_GB2312" w:cs="Times New Roman"/>
          <w:sz w:val="32"/>
          <w:szCs w:val="32"/>
        </w:rPr>
        <w:t>，坚持科学性和公益性，坚持保育与教育相结合，借鉴发达城市学前教育改革经验以及运用脑科学研究成果，创新学前教育供给服务方式，</w:t>
      </w:r>
      <w:r>
        <w:rPr>
          <w:rFonts w:ascii="仿宋_GB2312" w:hAnsi="仿宋" w:eastAsia="仿宋_GB2312" w:cs="Times New Roman"/>
          <w:sz w:val="32"/>
          <w:szCs w:val="32"/>
        </w:rPr>
        <w:t>推进学前教育可持续发展的体制机制建设</w:t>
      </w:r>
      <w:r>
        <w:rPr>
          <w:rFonts w:hint="eastAsia" w:ascii="仿宋_GB2312" w:hAnsi="仿宋" w:eastAsia="仿宋_GB2312" w:cs="Times New Roman"/>
          <w:sz w:val="32"/>
          <w:szCs w:val="32"/>
        </w:rPr>
        <w:t>。</w:t>
      </w:r>
    </w:p>
    <w:p>
      <w:pPr>
        <w:spacing w:line="600" w:lineRule="exact"/>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高水平普及学前三年教育。</w:t>
      </w:r>
      <w:r>
        <w:rPr>
          <w:rFonts w:ascii="仿宋_GB2312" w:hAnsi="仿宋" w:eastAsia="仿宋_GB2312" w:cs="Times New Roman"/>
          <w:sz w:val="32"/>
          <w:szCs w:val="32"/>
        </w:rPr>
        <w:t>建成公益普惠、开放多元、充满活力的优质学前教育供给与服务新体系</w:t>
      </w:r>
      <w:r>
        <w:rPr>
          <w:rFonts w:hint="eastAsia" w:ascii="仿宋_GB2312" w:hAnsi="仿宋" w:eastAsia="仿宋_GB2312" w:cs="Times New Roman"/>
          <w:sz w:val="32"/>
          <w:szCs w:val="32"/>
        </w:rPr>
        <w:t>。充分落实</w:t>
      </w:r>
      <w:r>
        <w:rPr>
          <w:rFonts w:ascii="仿宋_GB2312" w:hAnsi="仿宋" w:eastAsia="仿宋_GB2312" w:cs="Times New Roman"/>
          <w:sz w:val="32"/>
          <w:szCs w:val="32"/>
        </w:rPr>
        <w:t>县（市、区）政府发展学前教育的主体责任，充分发挥街道</w:t>
      </w:r>
      <w:r>
        <w:rPr>
          <w:rFonts w:hint="eastAsia" w:ascii="仿宋_GB2312" w:hAnsi="仿宋" w:eastAsia="仿宋_GB2312" w:cs="Times New Roman"/>
          <w:sz w:val="32"/>
          <w:szCs w:val="32"/>
        </w:rPr>
        <w:t>（</w:t>
      </w:r>
      <w:r>
        <w:rPr>
          <w:rFonts w:ascii="仿宋_GB2312" w:hAnsi="仿宋" w:eastAsia="仿宋_GB2312" w:cs="Times New Roman"/>
          <w:sz w:val="32"/>
          <w:szCs w:val="32"/>
        </w:rPr>
        <w:t>乡镇</w:t>
      </w:r>
      <w:r>
        <w:rPr>
          <w:rFonts w:hint="eastAsia" w:ascii="仿宋_GB2312" w:hAnsi="仿宋" w:eastAsia="仿宋_GB2312" w:cs="Times New Roman"/>
          <w:sz w:val="32"/>
          <w:szCs w:val="32"/>
        </w:rPr>
        <w:t>）</w:t>
      </w:r>
      <w:r>
        <w:rPr>
          <w:rFonts w:ascii="仿宋_GB2312" w:hAnsi="仿宋" w:eastAsia="仿宋_GB2312" w:cs="Times New Roman"/>
          <w:sz w:val="32"/>
          <w:szCs w:val="32"/>
        </w:rPr>
        <w:t>政府作用得到充分发挥</w:t>
      </w:r>
      <w:r>
        <w:rPr>
          <w:rFonts w:hint="eastAsia" w:ascii="仿宋_GB2312" w:hAnsi="仿宋" w:eastAsia="仿宋_GB2312" w:cs="Times New Roman"/>
          <w:sz w:val="32"/>
          <w:szCs w:val="32"/>
        </w:rPr>
        <w:t>。按照常住人口为基数，</w:t>
      </w:r>
      <w:r>
        <w:rPr>
          <w:rFonts w:ascii="仿宋_GB2312" w:hAnsi="仿宋" w:eastAsia="仿宋_GB2312" w:cs="Times New Roman"/>
          <w:sz w:val="32"/>
          <w:szCs w:val="32"/>
        </w:rPr>
        <w:t>完善以县（市、区）为单位的幼儿园规划布局</w:t>
      </w:r>
      <w:r>
        <w:rPr>
          <w:rFonts w:hint="eastAsia" w:ascii="仿宋_GB2312" w:hAnsi="仿宋" w:eastAsia="仿宋_GB2312" w:cs="Times New Roman"/>
          <w:sz w:val="32"/>
          <w:szCs w:val="32"/>
        </w:rPr>
        <w:t>。</w:t>
      </w:r>
      <w:r>
        <w:rPr>
          <w:rFonts w:ascii="仿宋_GB2312" w:hAnsi="仿宋" w:eastAsia="仿宋_GB2312" w:cs="Times New Roman"/>
          <w:sz w:val="32"/>
          <w:szCs w:val="32"/>
        </w:rPr>
        <w:t>严格落实城镇新建小区配套建设幼儿园制度。</w:t>
      </w:r>
      <w:r>
        <w:rPr>
          <w:rFonts w:hint="eastAsia" w:ascii="仿宋_GB2312" w:hAnsi="仿宋" w:eastAsia="仿宋_GB2312" w:cs="Times New Roman"/>
          <w:sz w:val="32"/>
          <w:szCs w:val="32"/>
        </w:rPr>
        <w:t>提升</w:t>
      </w:r>
      <w:r>
        <w:rPr>
          <w:rFonts w:ascii="仿宋_GB2312" w:hAnsi="仿宋" w:eastAsia="仿宋_GB2312" w:cs="Times New Roman"/>
          <w:sz w:val="32"/>
          <w:szCs w:val="32"/>
        </w:rPr>
        <w:t>公办幼儿园</w:t>
      </w:r>
      <w:r>
        <w:rPr>
          <w:rFonts w:hint="eastAsia" w:ascii="仿宋_GB2312" w:hAnsi="仿宋" w:eastAsia="仿宋_GB2312" w:cs="Times New Roman"/>
          <w:sz w:val="32"/>
          <w:szCs w:val="32"/>
        </w:rPr>
        <w:t>比例，促进公民办幼儿园协调健康发展。</w:t>
      </w:r>
      <w:r>
        <w:rPr>
          <w:rFonts w:ascii="仿宋_GB2312" w:hAnsi="仿宋" w:eastAsia="仿宋_GB2312" w:cs="Times New Roman"/>
          <w:sz w:val="32"/>
          <w:szCs w:val="32"/>
        </w:rPr>
        <w:t>健全学前教育资助体系及标准提升机制</w:t>
      </w:r>
      <w:r>
        <w:rPr>
          <w:rFonts w:hint="eastAsia" w:ascii="仿宋_GB2312" w:hAnsi="仿宋" w:eastAsia="仿宋_GB2312" w:cs="Times New Roman"/>
          <w:sz w:val="32"/>
          <w:szCs w:val="32"/>
        </w:rPr>
        <w:t>，</w:t>
      </w:r>
      <w:r>
        <w:rPr>
          <w:rFonts w:ascii="仿宋_GB2312" w:hAnsi="仿宋" w:eastAsia="仿宋_GB2312" w:cs="Times New Roman"/>
          <w:sz w:val="32"/>
          <w:szCs w:val="32"/>
        </w:rPr>
        <w:t>保障弱势群体儿童接受学前教育</w:t>
      </w:r>
      <w:r>
        <w:rPr>
          <w:rFonts w:hint="eastAsia" w:ascii="仿宋_GB2312" w:hAnsi="仿宋" w:eastAsia="仿宋_GB2312" w:cs="Times New Roman"/>
          <w:sz w:val="32"/>
          <w:szCs w:val="32"/>
        </w:rPr>
        <w:t>。发展学前特殊教育，通过举办特殊幼儿园、普通幼儿园开设学前特教班等多种方式，增设学前特教点，进一步完善学前教育阶段特殊教育课程体系，制定学前教育阶段特殊教育课程建设标准和实施指南，提升特殊教育质量。</w:t>
      </w:r>
    </w:p>
    <w:p>
      <w:pPr>
        <w:spacing w:line="600" w:lineRule="exact"/>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提升幼儿园保教质量。</w:t>
      </w:r>
      <w:r>
        <w:rPr>
          <w:rFonts w:hint="eastAsia" w:ascii="仿宋_GB2312" w:hAnsi="仿宋" w:eastAsia="仿宋_GB2312" w:cs="Times New Roman"/>
          <w:sz w:val="32"/>
          <w:szCs w:val="32"/>
        </w:rPr>
        <w:t>坚持以游戏为基本活动，提升幼儿园课程领导力。坚决纠正和克服“小学化”倾向。</w:t>
      </w:r>
      <w:r>
        <w:rPr>
          <w:rFonts w:ascii="仿宋_GB2312" w:hAnsi="仿宋" w:eastAsia="仿宋_GB2312" w:cs="Times New Roman"/>
          <w:sz w:val="32"/>
          <w:szCs w:val="32"/>
        </w:rPr>
        <w:t>加强幼儿园师资队伍建设</w:t>
      </w:r>
      <w:r>
        <w:rPr>
          <w:rFonts w:hint="eastAsia" w:ascii="仿宋_GB2312" w:hAnsi="仿宋" w:eastAsia="仿宋_GB2312" w:cs="Times New Roman"/>
          <w:sz w:val="32"/>
          <w:szCs w:val="32"/>
        </w:rPr>
        <w:t>，按标准补足幼儿园教师和保育员，创新学前教育教师、保育员培养培训和补充机制，整合力量加强市级幼儿师资研修资源和平台建设，推进脑科学、认知科学等最新成果在幼儿园保教活动中的试验推广，整体提升幼儿园教师和保育员队伍素质。依法规范办园行为，严格幼儿园准入制度，完善年检及备案公示制度。提升幼儿安全、健康相关设施设备等学前教育资源配置水平。加强学前教育质量监测，完善幼儿园办园质量评估制度，健全幼儿园保教质量动态监测机制，推进跨部门参与的儿童体质健康监测及研究。</w:t>
      </w:r>
    </w:p>
    <w:p>
      <w:pPr>
        <w:spacing w:line="600" w:lineRule="exact"/>
        <w:ind w:firstLine="643" w:firstLineChars="200"/>
        <w:rPr>
          <w:rFonts w:ascii="仿宋_GB2312" w:hAnsi="仿宋" w:eastAsia="仿宋_GB2312" w:cs="Times New Roman"/>
          <w:sz w:val="32"/>
          <w:szCs w:val="32"/>
        </w:rPr>
      </w:pPr>
      <w:r>
        <w:rPr>
          <w:rFonts w:ascii="仿宋_GB2312" w:hAnsi="仿宋" w:eastAsia="仿宋_GB2312" w:cs="Times New Roman"/>
          <w:b/>
          <w:sz w:val="32"/>
          <w:szCs w:val="32"/>
        </w:rPr>
        <w:t>提升婴幼儿早期教养的科学水平</w:t>
      </w:r>
      <w:r>
        <w:rPr>
          <w:rFonts w:hint="eastAsia" w:ascii="仿宋_GB2312" w:hAnsi="仿宋" w:eastAsia="仿宋_GB2312" w:cs="Times New Roman"/>
          <w:b/>
          <w:sz w:val="32"/>
          <w:szCs w:val="32"/>
        </w:rPr>
        <w:t>。</w:t>
      </w:r>
      <w:r>
        <w:rPr>
          <w:rFonts w:ascii="仿宋_GB2312" w:hAnsi="仿宋" w:eastAsia="仿宋_GB2312" w:cs="Times New Roman"/>
          <w:sz w:val="32"/>
          <w:szCs w:val="32"/>
        </w:rPr>
        <w:t>把</w:t>
      </w:r>
      <w:r>
        <w:rPr>
          <w:rFonts w:hint="eastAsia" w:ascii="仿宋_GB2312" w:hAnsi="仿宋" w:eastAsia="仿宋_GB2312" w:cs="Times New Roman"/>
          <w:sz w:val="32"/>
          <w:szCs w:val="32"/>
        </w:rPr>
        <w:t>婴</w:t>
      </w:r>
      <w:r>
        <w:rPr>
          <w:rFonts w:ascii="仿宋_GB2312" w:hAnsi="仿宋" w:eastAsia="仿宋_GB2312" w:cs="Times New Roman"/>
          <w:sz w:val="32"/>
          <w:szCs w:val="32"/>
        </w:rPr>
        <w:t>幼儿早期教养指导</w:t>
      </w:r>
      <w:r>
        <w:rPr>
          <w:rFonts w:hint="eastAsia" w:ascii="仿宋_GB2312" w:hAnsi="仿宋" w:eastAsia="仿宋_GB2312" w:cs="Times New Roman"/>
          <w:sz w:val="32"/>
          <w:szCs w:val="32"/>
        </w:rPr>
        <w:t>纳入政府</w:t>
      </w:r>
      <w:r>
        <w:rPr>
          <w:rFonts w:ascii="仿宋_GB2312" w:hAnsi="仿宋" w:eastAsia="仿宋_GB2312" w:cs="Times New Roman"/>
          <w:sz w:val="32"/>
          <w:szCs w:val="32"/>
        </w:rPr>
        <w:t>民生问题</w:t>
      </w:r>
      <w:r>
        <w:rPr>
          <w:rFonts w:hint="eastAsia" w:ascii="仿宋_GB2312" w:hAnsi="仿宋" w:eastAsia="仿宋_GB2312" w:cs="Times New Roman"/>
          <w:sz w:val="32"/>
          <w:szCs w:val="32"/>
        </w:rPr>
        <w:t>，采取多种形式加强各类婴幼儿照护服务人才的培养。</w:t>
      </w:r>
      <w:r>
        <w:rPr>
          <w:rFonts w:ascii="仿宋_GB2312" w:hAnsi="仿宋" w:eastAsia="仿宋_GB2312" w:cs="Times New Roman"/>
          <w:sz w:val="32"/>
          <w:szCs w:val="32"/>
        </w:rPr>
        <w:t>与</w:t>
      </w:r>
      <w:r>
        <w:rPr>
          <w:rFonts w:hint="eastAsia" w:ascii="仿宋_GB2312" w:hAnsi="仿宋" w:eastAsia="仿宋_GB2312" w:cs="Times New Roman"/>
          <w:sz w:val="32"/>
          <w:szCs w:val="32"/>
        </w:rPr>
        <w:t>城市</w:t>
      </w:r>
      <w:r>
        <w:rPr>
          <w:rFonts w:ascii="仿宋_GB2312" w:hAnsi="仿宋" w:eastAsia="仿宋_GB2312" w:cs="Times New Roman"/>
          <w:sz w:val="32"/>
          <w:szCs w:val="32"/>
        </w:rPr>
        <w:t>人口</w:t>
      </w:r>
      <w:r>
        <w:rPr>
          <w:rFonts w:hint="eastAsia" w:ascii="仿宋_GB2312" w:hAnsi="仿宋" w:eastAsia="仿宋_GB2312" w:cs="Times New Roman"/>
          <w:sz w:val="32"/>
          <w:szCs w:val="32"/>
        </w:rPr>
        <w:t>变化</w:t>
      </w:r>
      <w:r>
        <w:rPr>
          <w:rFonts w:ascii="仿宋_GB2312" w:hAnsi="仿宋" w:eastAsia="仿宋_GB2312" w:cs="Times New Roman"/>
          <w:sz w:val="32"/>
          <w:szCs w:val="32"/>
        </w:rPr>
        <w:t>、</w:t>
      </w:r>
      <w:r>
        <w:rPr>
          <w:rFonts w:hint="eastAsia" w:ascii="仿宋_GB2312" w:hAnsi="仿宋" w:eastAsia="仿宋_GB2312" w:cs="Times New Roman"/>
          <w:sz w:val="32"/>
          <w:szCs w:val="32"/>
        </w:rPr>
        <w:t>公共</w:t>
      </w:r>
      <w:r>
        <w:rPr>
          <w:rFonts w:ascii="仿宋_GB2312" w:hAnsi="仿宋" w:eastAsia="仿宋_GB2312" w:cs="Times New Roman"/>
          <w:sz w:val="32"/>
          <w:szCs w:val="32"/>
        </w:rPr>
        <w:t>服务</w:t>
      </w:r>
      <w:r>
        <w:rPr>
          <w:rFonts w:hint="eastAsia" w:ascii="仿宋_GB2312" w:hAnsi="仿宋" w:eastAsia="仿宋_GB2312" w:cs="Times New Roman"/>
          <w:sz w:val="32"/>
          <w:szCs w:val="32"/>
        </w:rPr>
        <w:t>制度安排、社会</w:t>
      </w:r>
      <w:r>
        <w:rPr>
          <w:rFonts w:ascii="仿宋_GB2312" w:hAnsi="仿宋" w:eastAsia="仿宋_GB2312" w:cs="Times New Roman"/>
          <w:sz w:val="32"/>
          <w:szCs w:val="32"/>
        </w:rPr>
        <w:t>基层建设等</w:t>
      </w:r>
      <w:r>
        <w:rPr>
          <w:rFonts w:hint="eastAsia" w:ascii="仿宋_GB2312" w:hAnsi="仿宋" w:eastAsia="仿宋_GB2312" w:cs="Times New Roman"/>
          <w:sz w:val="32"/>
          <w:szCs w:val="32"/>
        </w:rPr>
        <w:t>统筹规划，推进早期教养指导服务中心（站）建设，发挥街道</w:t>
      </w:r>
      <w:r>
        <w:rPr>
          <w:rFonts w:ascii="仿宋_GB2312" w:hAnsi="仿宋" w:eastAsia="仿宋_GB2312" w:cs="Times New Roman"/>
          <w:sz w:val="32"/>
          <w:szCs w:val="32"/>
        </w:rPr>
        <w:t>（乡镇）</w:t>
      </w:r>
      <w:r>
        <w:rPr>
          <w:rFonts w:hint="eastAsia" w:ascii="仿宋_GB2312" w:hAnsi="仿宋" w:eastAsia="仿宋_GB2312" w:cs="Times New Roman"/>
          <w:sz w:val="32"/>
          <w:szCs w:val="32"/>
        </w:rPr>
        <w:t>、幼儿园、主流媒体作用，构建普惠性早期教养指导服务体系。</w:t>
      </w:r>
      <w:bookmarkStart w:id="31" w:name="_Toc7792377"/>
      <w:bookmarkStart w:id="32" w:name="_Toc9842121"/>
    </w:p>
    <w:p>
      <w:pPr>
        <w:spacing w:line="600" w:lineRule="exact"/>
        <w:ind w:firstLine="643" w:firstLineChars="200"/>
        <w:rPr>
          <w:rFonts w:ascii="楷体_GB2312" w:hAnsi="Calibri Light" w:eastAsia="楷体_GB2312" w:cs="Times New Roman"/>
          <w:b/>
          <w:bCs/>
          <w:kern w:val="0"/>
          <w:sz w:val="32"/>
          <w:szCs w:val="32"/>
        </w:rPr>
      </w:pPr>
      <w:r>
        <w:rPr>
          <w:rFonts w:hint="eastAsia" w:ascii="楷体_GB2312" w:hAnsi="Calibri Light" w:eastAsia="楷体_GB2312" w:cs="Times New Roman"/>
          <w:b/>
          <w:bCs/>
          <w:kern w:val="0"/>
          <w:sz w:val="32"/>
          <w:szCs w:val="32"/>
        </w:rPr>
        <w:t>2</w:t>
      </w:r>
      <w:r>
        <w:rPr>
          <w:rFonts w:ascii="楷体_GB2312" w:hAnsi="Calibri Light" w:eastAsia="楷体_GB2312" w:cs="Times New Roman"/>
          <w:b/>
          <w:bCs/>
          <w:kern w:val="0"/>
          <w:sz w:val="32"/>
          <w:szCs w:val="32"/>
        </w:rPr>
        <w:t>.</w:t>
      </w:r>
      <w:r>
        <w:rPr>
          <w:rFonts w:hint="eastAsia" w:ascii="楷体_GB2312" w:hAnsi="Calibri Light" w:eastAsia="楷体_GB2312" w:cs="Times New Roman"/>
          <w:b/>
          <w:bCs/>
          <w:kern w:val="0"/>
          <w:sz w:val="32"/>
          <w:szCs w:val="32"/>
        </w:rPr>
        <w:t>推动义务教育优质均衡发展</w:t>
      </w:r>
      <w:r>
        <w:rPr>
          <w:rFonts w:ascii="楷体_GB2312" w:hAnsi="Calibri Light" w:eastAsia="楷体_GB2312" w:cs="Times New Roman"/>
          <w:b/>
          <w:bCs/>
          <w:kern w:val="0"/>
          <w:sz w:val="28"/>
          <w:szCs w:val="32"/>
          <w:vertAlign w:val="superscript"/>
        </w:rPr>
        <w:footnoteReference w:id="17"/>
      </w:r>
      <w:r>
        <w:rPr>
          <w:rFonts w:hint="eastAsia" w:ascii="楷体_GB2312" w:hAnsi="Calibri Light" w:eastAsia="楷体_GB2312" w:cs="Times New Roman"/>
          <w:b/>
          <w:bCs/>
          <w:kern w:val="0"/>
          <w:sz w:val="32"/>
          <w:szCs w:val="32"/>
        </w:rPr>
        <w:t>，确保城乡学生更整体有效达成学业质量</w:t>
      </w:r>
      <w:r>
        <w:rPr>
          <w:rFonts w:ascii="楷体_GB2312" w:hAnsi="Calibri Light" w:eastAsia="楷体_GB2312" w:cs="Times New Roman"/>
          <w:b/>
          <w:bCs/>
          <w:kern w:val="0"/>
          <w:sz w:val="28"/>
          <w:szCs w:val="32"/>
          <w:vertAlign w:val="superscript"/>
        </w:rPr>
        <w:footnoteReference w:id="18"/>
      </w:r>
      <w:bookmarkEnd w:id="31"/>
      <w:bookmarkEnd w:id="32"/>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义务教育是面向所有适龄儿童的基本公共教育服务。坚持优质均衡发展导向，以常住人口为基数优化教育资源配置，不断提高基本公共教育服务水平，办好城乡学生家门口的学校，推进公办与民办学校协调发展，减轻学生过重课业负担，提高城乡学生学习质量。</w:t>
      </w:r>
    </w:p>
    <w:p>
      <w:pPr>
        <w:spacing w:line="600" w:lineRule="exact"/>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全面提升义务教育巩固水平。</w:t>
      </w:r>
      <w:r>
        <w:rPr>
          <w:rFonts w:hint="eastAsia" w:ascii="仿宋_GB2312" w:hAnsi="仿宋" w:eastAsia="仿宋_GB2312" w:cs="Times New Roman"/>
          <w:sz w:val="32"/>
          <w:szCs w:val="32"/>
        </w:rPr>
        <w:t>对照郑州城市总体规划和义务教育学校办学</w:t>
      </w:r>
      <w:r>
        <w:rPr>
          <w:rFonts w:ascii="仿宋_GB2312" w:hAnsi="仿宋" w:eastAsia="仿宋_GB2312" w:cs="Times New Roman"/>
          <w:sz w:val="32"/>
          <w:szCs w:val="32"/>
        </w:rPr>
        <w:t>标准</w:t>
      </w:r>
      <w:r>
        <w:rPr>
          <w:rFonts w:hint="eastAsia" w:ascii="仿宋_GB2312" w:hAnsi="仿宋" w:eastAsia="仿宋_GB2312" w:cs="Times New Roman"/>
          <w:sz w:val="32"/>
          <w:szCs w:val="32"/>
        </w:rPr>
        <w:t>，超前、合理布局城乡义务教育学校，按标准配置教育教学软硬件资源，消除大班额，满足学生就近入学需要。切实保障随迁子女同城化待遇，确保留守儿童、家庭经济贫困儿童不因贫困而失学。</w:t>
      </w:r>
      <w:r>
        <w:rPr>
          <w:rFonts w:ascii="仿宋_GB2312" w:hAnsi="仿宋" w:eastAsia="仿宋_GB2312" w:cs="Times New Roman"/>
          <w:sz w:val="32"/>
          <w:szCs w:val="32"/>
        </w:rPr>
        <w:t>为各种学习上有困难的学生努力提供个性化、可选择、扶助性的教育和学习支持。</w:t>
      </w:r>
    </w:p>
    <w:p>
      <w:pPr>
        <w:spacing w:line="600" w:lineRule="exact"/>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全面实现县（市、区）域内</w:t>
      </w:r>
      <w:r>
        <w:rPr>
          <w:rFonts w:ascii="仿宋_GB2312" w:hAnsi="仿宋" w:eastAsia="仿宋_GB2312" w:cs="Times New Roman"/>
          <w:b/>
          <w:sz w:val="32"/>
          <w:szCs w:val="32"/>
        </w:rPr>
        <w:t>义务教育优质均衡</w:t>
      </w:r>
      <w:r>
        <w:rPr>
          <w:rFonts w:hint="eastAsia" w:ascii="仿宋_GB2312" w:hAnsi="仿宋" w:eastAsia="仿宋_GB2312" w:cs="Times New Roman"/>
          <w:b/>
          <w:sz w:val="32"/>
          <w:szCs w:val="32"/>
        </w:rPr>
        <w:t>。</w:t>
      </w:r>
      <w:r>
        <w:rPr>
          <w:rFonts w:hint="eastAsia" w:ascii="仿宋_GB2312" w:hAnsi="仿宋" w:eastAsia="仿宋_GB2312" w:cs="Times New Roman"/>
          <w:sz w:val="32"/>
          <w:szCs w:val="32"/>
        </w:rPr>
        <w:t>提高义务教育学校办学质量。创新学区化集团化办学或学校联盟等方式，加大对薄弱学校和乡村学校的扶持力度，重点推动优秀校长和骨干教师到农村学校、薄弱学校任职任教，健全城乡一体化的师资配备、经费保障、督导评估等机制。坚持核心素养关键能力导向，深入推进课程与教学改革，有效发挥教研科研的引领作用，深入推进基层学校教与学方式的创新，不断涌现在全国有影响力的教育教学改革成果，切实提高义务教育质量。</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提高义务教育教师能力建设。</w:t>
      </w:r>
      <w:r>
        <w:rPr>
          <w:rFonts w:hint="eastAsia" w:ascii="仿宋_GB2312" w:hAnsi="仿宋" w:eastAsia="仿宋_GB2312" w:cs="Times New Roman"/>
          <w:sz w:val="32"/>
          <w:szCs w:val="32"/>
        </w:rPr>
        <w:t>全面加强</w:t>
      </w:r>
      <w:r>
        <w:rPr>
          <w:rFonts w:ascii="仿宋_GB2312" w:hAnsi="仿宋" w:eastAsia="仿宋_GB2312" w:cs="Times New Roman"/>
          <w:sz w:val="32"/>
          <w:szCs w:val="32"/>
        </w:rPr>
        <w:t>县（市、区）</w:t>
      </w:r>
      <w:r>
        <w:rPr>
          <w:rFonts w:hint="eastAsia" w:ascii="仿宋_GB2312" w:hAnsi="仿宋" w:eastAsia="仿宋_GB2312" w:cs="Times New Roman"/>
          <w:sz w:val="32"/>
          <w:szCs w:val="32"/>
        </w:rPr>
        <w:t>教育教学专业研究机构基础能力建设，分批推进教师专业发展学校建设。同以应用性研究为主的国内顶尖教育研究机构共建一批开放性、主题式的工作室（坊）或研修中心，为义务教育优质均衡发展提供支持。</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建立健全义务教育质量监测体系。</w:t>
      </w:r>
      <w:r>
        <w:rPr>
          <w:rFonts w:hint="eastAsia" w:ascii="仿宋_GB2312" w:hAnsi="仿宋" w:eastAsia="仿宋_GB2312" w:cs="Times New Roman"/>
          <w:sz w:val="32"/>
          <w:szCs w:val="32"/>
        </w:rPr>
        <w:t>完善义务教育质量监测标准建设，提升全面动态收集和科学分析数据能力，推进监测数据的有效应用，构建基于证据的义务教育教学改进机制。推动形成较为完善的义务教育学生课外负担监测和治理长效机制。</w:t>
      </w:r>
    </w:p>
    <w:p>
      <w:pPr>
        <w:spacing w:line="600" w:lineRule="exact"/>
        <w:ind w:firstLine="643" w:firstLineChars="200"/>
        <w:rPr>
          <w:rFonts w:ascii="楷体_GB2312" w:hAnsi="Calibri Light" w:eastAsia="楷体_GB2312" w:cs="Times New Roman"/>
          <w:b/>
          <w:bCs/>
          <w:kern w:val="0"/>
          <w:sz w:val="32"/>
          <w:szCs w:val="32"/>
        </w:rPr>
      </w:pPr>
      <w:bookmarkStart w:id="33" w:name="_Toc9842122"/>
      <w:bookmarkStart w:id="34" w:name="_Toc7792378"/>
      <w:r>
        <w:rPr>
          <w:rFonts w:hint="eastAsia" w:ascii="楷体_GB2312" w:hAnsi="Calibri Light" w:eastAsia="楷体_GB2312" w:cs="Times New Roman"/>
          <w:b/>
          <w:bCs/>
          <w:kern w:val="0"/>
          <w:sz w:val="32"/>
          <w:szCs w:val="32"/>
        </w:rPr>
        <w:t>3</w:t>
      </w:r>
      <w:r>
        <w:rPr>
          <w:rFonts w:ascii="楷体_GB2312" w:hAnsi="Calibri Light" w:eastAsia="楷体_GB2312" w:cs="Times New Roman"/>
          <w:b/>
          <w:bCs/>
          <w:kern w:val="0"/>
          <w:sz w:val="32"/>
          <w:szCs w:val="32"/>
        </w:rPr>
        <w:t>.</w:t>
      </w:r>
      <w:r>
        <w:rPr>
          <w:rFonts w:hint="eastAsia" w:ascii="楷体_GB2312" w:hAnsi="Calibri Light" w:eastAsia="楷体_GB2312" w:cs="Times New Roman"/>
          <w:b/>
          <w:bCs/>
          <w:kern w:val="0"/>
          <w:sz w:val="32"/>
          <w:szCs w:val="32"/>
        </w:rPr>
        <w:t>加快高中教育优质特色发展，成就学生综合素质和拔尖创新人才成长</w:t>
      </w:r>
      <w:bookmarkEnd w:id="33"/>
      <w:bookmarkEnd w:id="34"/>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高中教育在整个国民教育体系中处于承上启下的地位，是基础教育的重要一环，是学生形成良好品格、不断促进个人自我价值实现的关键期。全面推动高中教育优质特色多样化发展，要大力推进普通高中内涵提升，引导普通高中育人方式、评价方式、课程建设、文化建设等全面转型，全面普及高中阶段教育。</w:t>
      </w:r>
    </w:p>
    <w:p>
      <w:pPr>
        <w:spacing w:line="600" w:lineRule="exact"/>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优化高中阶段学校布局调整，全面普及高中阶段教育。</w:t>
      </w:r>
      <w:r>
        <w:rPr>
          <w:rFonts w:hint="eastAsia" w:ascii="仿宋_GB2312" w:hAnsi="仿宋" w:eastAsia="仿宋_GB2312" w:cs="Times New Roman"/>
          <w:sz w:val="32"/>
          <w:szCs w:val="32"/>
        </w:rPr>
        <w:t>优化高中阶段学校布局调整，加强普通高中段学校建设。将高中阶段学校建设列入市政府民生实事，加快市区高中阶段学校外迁建设，注重向城市周边和外围拓展，新建一批高中阶段学校，</w:t>
      </w:r>
      <w:r>
        <w:rPr>
          <w:rFonts w:ascii="仿宋_GB2312" w:hAnsi="仿宋" w:eastAsia="仿宋_GB2312" w:cs="Times New Roman"/>
          <w:sz w:val="32"/>
          <w:szCs w:val="32"/>
        </w:rPr>
        <w:t>改善</w:t>
      </w:r>
      <w:r>
        <w:rPr>
          <w:rFonts w:hint="eastAsia" w:ascii="仿宋_GB2312" w:hAnsi="仿宋" w:eastAsia="仿宋_GB2312" w:cs="Times New Roman"/>
          <w:sz w:val="32"/>
          <w:szCs w:val="32"/>
        </w:rPr>
        <w:t>相对薄弱高中</w:t>
      </w:r>
      <w:r>
        <w:rPr>
          <w:rFonts w:ascii="仿宋_GB2312" w:hAnsi="仿宋" w:eastAsia="仿宋_GB2312" w:cs="Times New Roman"/>
          <w:sz w:val="32"/>
          <w:szCs w:val="32"/>
        </w:rPr>
        <w:t>基本办学条件，</w:t>
      </w:r>
      <w:r>
        <w:rPr>
          <w:rFonts w:hint="eastAsia" w:ascii="仿宋_GB2312" w:hAnsi="仿宋" w:eastAsia="仿宋_GB2312" w:cs="Times New Roman"/>
          <w:sz w:val="32"/>
          <w:szCs w:val="32"/>
        </w:rPr>
        <w:t>切实增加高中阶段教育学位供给，</w:t>
      </w:r>
      <w:r>
        <w:rPr>
          <w:rFonts w:ascii="仿宋_GB2312" w:hAnsi="仿宋" w:eastAsia="仿宋_GB2312" w:cs="Times New Roman"/>
          <w:sz w:val="32"/>
          <w:szCs w:val="32"/>
        </w:rPr>
        <w:t>解决普通高中大班额问题</w:t>
      </w:r>
      <w:r>
        <w:rPr>
          <w:rFonts w:hint="eastAsia" w:ascii="仿宋_GB2312" w:hAnsi="仿宋" w:eastAsia="仿宋_GB2312" w:cs="Times New Roman"/>
          <w:sz w:val="32"/>
          <w:szCs w:val="32"/>
        </w:rPr>
        <w:t>，满足学生就学需求。健全高中阶段教育经费投入机制，逐步实施普通高中免除学杂费。建立健全学生资助制度，提高国家资助政策的精准度，实现家庭经济困难学生资助全覆盖，使绝大多数城乡新增劳动力接受高中阶段教育。</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扩大优质高中教育资源。</w:t>
      </w:r>
      <w:r>
        <w:rPr>
          <w:rFonts w:hint="eastAsia" w:ascii="仿宋_GB2312" w:hAnsi="仿宋" w:eastAsia="仿宋_GB2312" w:cs="Times New Roman"/>
          <w:sz w:val="32"/>
          <w:szCs w:val="32"/>
        </w:rPr>
        <w:t>提升普通高中建设品位，扩大优质高中教育资源。采取“目标定位、新建、改建、内涵提升、特色提炼”等方法，使高中学校建设达到国内一流水平。以“一校一文化，一校一品牌”为目标，着眼于郑州国家中心城市建设对人才的需求，着眼于郑州城市发展的总体布局规划，在现有学校建设规划的基础上，引进高中优质教育资源，建成一批高端特色的高中学校。</w:t>
      </w:r>
      <w:r>
        <w:rPr>
          <w:rFonts w:ascii="仿宋_GB2312" w:hAnsi="仿宋" w:eastAsia="仿宋_GB2312" w:cs="Times New Roman"/>
          <w:sz w:val="32"/>
          <w:szCs w:val="32"/>
        </w:rPr>
        <w:t>加强外语类</w:t>
      </w:r>
      <w:r>
        <w:rPr>
          <w:rFonts w:hint="eastAsia" w:ascii="仿宋_GB2312" w:hAnsi="仿宋" w:eastAsia="仿宋_GB2312" w:cs="Times New Roman"/>
          <w:sz w:val="32"/>
          <w:szCs w:val="32"/>
        </w:rPr>
        <w:t>、</w:t>
      </w:r>
      <w:r>
        <w:rPr>
          <w:rFonts w:ascii="仿宋_GB2312" w:hAnsi="仿宋" w:eastAsia="仿宋_GB2312" w:cs="Times New Roman"/>
          <w:sz w:val="32"/>
          <w:szCs w:val="32"/>
        </w:rPr>
        <w:t>科技类等特色高中建设</w:t>
      </w:r>
      <w:r>
        <w:rPr>
          <w:rFonts w:hint="eastAsia" w:ascii="仿宋_GB2312" w:hAnsi="仿宋" w:eastAsia="仿宋_GB2312" w:cs="Times New Roman"/>
          <w:sz w:val="32"/>
          <w:szCs w:val="32"/>
        </w:rPr>
        <w:t>。完善高中办学体制，推动改革和发展机制创新，鼓励和支持民办普通高中学校发展。</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建立普通高中和中等职业教育互通机制。</w:t>
      </w:r>
      <w:r>
        <w:rPr>
          <w:rFonts w:hint="eastAsia" w:ascii="仿宋_GB2312" w:hAnsi="仿宋" w:eastAsia="仿宋_GB2312" w:cs="Times New Roman"/>
          <w:sz w:val="32"/>
          <w:szCs w:val="32"/>
        </w:rPr>
        <w:t>探索课程互选、资源互动，推进中等职业教育和普通高中教育协调发展。鼓励有条件的普通高中根据需要适当增加职业教育的教学内容，鼓励探索职普融通模式的综合高中。</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推进高中多样化发展试点改革，发展特色高中。</w:t>
      </w:r>
      <w:r>
        <w:rPr>
          <w:rFonts w:hint="eastAsia" w:ascii="仿宋_GB2312" w:hAnsi="仿宋" w:eastAsia="仿宋_GB2312" w:cs="Times New Roman"/>
          <w:sz w:val="32"/>
          <w:szCs w:val="32"/>
        </w:rPr>
        <w:t>持续滚动推进高中多样特色发展行动，引导高中学校基于学校办学传统和实际，科学合理地确定办学定位，实现错位发展，办出学校特色。开展特色普通高中评审工作，在全市命名一批覆盖领域广泛、布局合理、特色鲜明、定位科学、水平较高、省内知名、在全国具有一定影响力的特色普通高中，努力形成普通高中分类发展的局面。</w:t>
      </w:r>
      <w:r>
        <w:rPr>
          <w:rFonts w:ascii="仿宋_GB2312" w:hAnsi="仿宋" w:eastAsia="仿宋_GB2312" w:cs="Times New Roman"/>
          <w:sz w:val="32"/>
          <w:szCs w:val="32"/>
        </w:rPr>
        <w:t xml:space="preserve"> </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深入推进普通高中课程改革，全面落实课程方案。</w:t>
      </w:r>
      <w:r>
        <w:rPr>
          <w:rFonts w:hint="eastAsia" w:ascii="仿宋_GB2312" w:hAnsi="仿宋" w:eastAsia="仿宋_GB2312" w:cs="Times New Roman"/>
          <w:sz w:val="32"/>
          <w:szCs w:val="32"/>
        </w:rPr>
        <w:t>适应高考综合改革和高中生学生特点，推进个性化教育、“走班制”教学，鼓励学校通过富有吸引力和特色的课程、教学及各类教育活动，激发学生学习兴趣，开发学生学习潜能，促进学生主动学习，切实提高学习质量。实施普通高中与大学衔接课程项目，鼓励有条件的高中开设大学先修课程和职业教育课程。建立健全学生发展指导制度，加强对学生心理、学业、升学、就业等多方面的生涯发展指导和心理辅导。</w:t>
      </w:r>
    </w:p>
    <w:p>
      <w:pPr>
        <w:spacing w:line="600" w:lineRule="exact"/>
        <w:ind w:firstLine="643" w:firstLineChars="200"/>
        <w:rPr>
          <w:rFonts w:ascii="仿宋_GB2312" w:hAnsi="仿宋" w:eastAsia="仿宋_GB2312" w:cs="Times New Roman"/>
          <w:sz w:val="32"/>
          <w:szCs w:val="32"/>
        </w:rPr>
      </w:pPr>
      <w:r>
        <w:rPr>
          <w:rFonts w:hint="eastAsia" w:ascii="Times New Roman" w:hAnsi="Times New Roman" w:eastAsia="仿宋_GB2312" w:cs="Times New Roman"/>
          <w:b/>
          <w:sz w:val="32"/>
          <w:szCs w:val="32"/>
        </w:rPr>
        <w:t>大力推进教与学方式的变革，创新课堂教学模式。</w:t>
      </w:r>
      <w:r>
        <w:rPr>
          <w:rFonts w:hint="eastAsia" w:ascii="仿宋_GB2312" w:hAnsi="仿宋" w:eastAsia="仿宋_GB2312" w:cs="Times New Roman"/>
          <w:sz w:val="32"/>
          <w:szCs w:val="32"/>
        </w:rPr>
        <w:t>加强高中与大学、职业院校、社会机构合作</w:t>
      </w:r>
      <w:r>
        <w:rPr>
          <w:rFonts w:ascii="仿宋_GB2312" w:hAnsi="仿宋" w:eastAsia="仿宋_GB2312" w:cs="Times New Roman"/>
          <w:sz w:val="32"/>
          <w:szCs w:val="32"/>
        </w:rPr>
        <w:t>,为学生提供个性化职业生涯教育和高质量职业体验经历。</w:t>
      </w:r>
      <w:r>
        <w:rPr>
          <w:rFonts w:hint="eastAsia" w:ascii="仿宋_GB2312" w:hAnsi="仿宋" w:eastAsia="仿宋_GB2312" w:cs="Times New Roman"/>
          <w:sz w:val="32"/>
          <w:szCs w:val="32"/>
        </w:rPr>
        <w:t>推动普通高中教育和中等职业教育互相渗透，充分利用中等职业学校的实训基地，加强普通高中学生的职业技能训练。加强高中与高校以及科研院所的有效合作，充分利用高校青少年实践工作站等教育资源，拓展学生的学习实践平台，丰富学生的学习和成长经历。试行区域内高中课程跨校选修制度，促进学校间资源整合与共享。大力加强实验教学、研究性学习、社区服务和社会实践。大力建设智能学习空间和学习体验中心，积极推行场景式、体验式、沉浸式学习。积极推进信息技术与教学深度融合，利用信息技术加快推动人才培养模式改革，鼓励基于大数据分析，制定符合学生发展需求的个性化培养方案。</w:t>
      </w:r>
    </w:p>
    <w:p>
      <w:pPr>
        <w:spacing w:line="600" w:lineRule="exact"/>
        <w:ind w:firstLine="643" w:firstLineChars="200"/>
        <w:rPr>
          <w:rFonts w:ascii="仿宋_GB2312" w:hAnsi="仿宋" w:eastAsia="仿宋_GB2312" w:cs="Times New Roman"/>
          <w:bCs/>
          <w:sz w:val="32"/>
          <w:szCs w:val="32"/>
        </w:rPr>
      </w:pPr>
      <w:r>
        <w:rPr>
          <w:rFonts w:hint="eastAsia" w:ascii="Times New Roman" w:hAnsi="Times New Roman" w:eastAsia="仿宋_GB2312" w:cs="Times New Roman"/>
          <w:b/>
          <w:sz w:val="32"/>
          <w:szCs w:val="32"/>
        </w:rPr>
        <w:t>强化高中学生创新素养培育工作，深入实施创新素养培育项目。</w:t>
      </w:r>
      <w:r>
        <w:rPr>
          <w:rFonts w:hint="eastAsia" w:ascii="仿宋_GB2312" w:hAnsi="仿宋" w:eastAsia="仿宋_GB2312" w:cs="Times New Roman"/>
          <w:sz w:val="32"/>
          <w:szCs w:val="32"/>
        </w:rPr>
        <w:t>全面推进创新实验室和创客空间建设项目，加强创新和创客实践基地建设，研究开发创新和创客教育教学资源，全面普及创新和创客教育实践活动</w:t>
      </w:r>
      <w:r>
        <w:rPr>
          <w:rFonts w:ascii="仿宋_GB2312" w:hAnsi="仿宋" w:eastAsia="仿宋_GB2312" w:cs="Times New Roman"/>
          <w:sz w:val="32"/>
          <w:szCs w:val="32"/>
        </w:rPr>
        <w:t>,</w:t>
      </w:r>
      <w:r>
        <w:rPr>
          <w:rFonts w:hint="eastAsia" w:ascii="仿宋_GB2312" w:hAnsi="仿宋" w:eastAsia="仿宋_GB2312" w:cs="Times New Roman"/>
          <w:sz w:val="32"/>
          <w:szCs w:val="32"/>
        </w:rPr>
        <w:t>实施青少年科技创新后备人才培养实践平台工程，开展创新拔尖人才培养项目，推进建立跨校选修和学生共育的联盟机制。鼓励学校对具有特殊才能学生采取特殊培养方式，提高创新人才培养水平。</w:t>
      </w:r>
    </w:p>
    <w:p>
      <w:pPr>
        <w:spacing w:line="600" w:lineRule="exact"/>
        <w:ind w:firstLine="643" w:firstLineChars="200"/>
        <w:rPr>
          <w:rFonts w:ascii="楷体_GB2312" w:hAnsi="Calibri Light" w:eastAsia="楷体_GB2312" w:cs="Times New Roman"/>
          <w:b/>
          <w:bCs/>
          <w:kern w:val="0"/>
          <w:sz w:val="32"/>
          <w:szCs w:val="32"/>
        </w:rPr>
      </w:pPr>
      <w:bookmarkStart w:id="35" w:name="_Toc7792379"/>
      <w:bookmarkStart w:id="36" w:name="_Toc9842123"/>
      <w:r>
        <w:rPr>
          <w:rFonts w:hint="eastAsia" w:ascii="楷体_GB2312" w:hAnsi="Calibri Light" w:eastAsia="楷体_GB2312" w:cs="Times New Roman"/>
          <w:b/>
          <w:bCs/>
          <w:kern w:val="0"/>
          <w:sz w:val="32"/>
          <w:szCs w:val="32"/>
        </w:rPr>
        <w:t>4</w:t>
      </w:r>
      <w:r>
        <w:rPr>
          <w:rFonts w:ascii="楷体_GB2312" w:hAnsi="Calibri Light" w:eastAsia="楷体_GB2312" w:cs="Times New Roman"/>
          <w:b/>
          <w:bCs/>
          <w:kern w:val="0"/>
          <w:sz w:val="32"/>
          <w:szCs w:val="32"/>
        </w:rPr>
        <w:t>.适</w:t>
      </w:r>
      <w:r>
        <w:rPr>
          <w:rFonts w:hint="eastAsia" w:ascii="楷体_GB2312" w:hAnsi="Calibri Light" w:eastAsia="楷体_GB2312" w:cs="Times New Roman"/>
          <w:b/>
          <w:bCs/>
          <w:kern w:val="0"/>
          <w:sz w:val="32"/>
          <w:szCs w:val="32"/>
        </w:rPr>
        <w:t>应城市产业发展需求，建设现代职业教育体系</w:t>
      </w:r>
      <w:bookmarkEnd w:id="35"/>
      <w:bookmarkEnd w:id="36"/>
    </w:p>
    <w:p>
      <w:pPr>
        <w:widowControl/>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发展与郑州产业需求相适应的现代职业教育体系，以实现更高质量更充分就业需要为导向，优化职业教育布局和学科专业结构，深化办学体制改革和育人机制改革，着力培养高素质劳动者和技术技能人才。</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全面深化职业教育制度体系改革。</w:t>
      </w:r>
      <w:r>
        <w:rPr>
          <w:rFonts w:hint="eastAsia" w:ascii="Times New Roman" w:hAnsi="Times New Roman" w:eastAsia="仿宋_GB2312" w:cs="Times New Roman"/>
          <w:sz w:val="32"/>
          <w:szCs w:val="32"/>
        </w:rPr>
        <w:t>以服务建设国际商都和国家中心城市建设为导向，创新职业教育发展路径，打造“中职-高职（专科）-应用型本科-专业学位研究生”相衔接的人才培养体系，统筹职业教育、普通教育和继续教育发展，为学生个性发展搭建立交桥。科学制定符合各级各类技术技能人才的培养方案、教育教学和考核评价等制度，探索“文化课程+技能课考试”的职业院校高考模式改革，探索跨学校、跨机构课程学分互认机制，开展学历证书+职业技能等级证书的“1+X证书制度”试点。实现终身职业教育和技能培训制度，促进职业学校教育向学历教育与职业培训并举、职前教育与职后培训衔接发展，满足劳动者工作各阶段差异化的继续教育需求，不断提高职业教育办学水平和服务区域经济社会发展的能力。</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加快职业学校布局调整。</w:t>
      </w:r>
      <w:r>
        <w:rPr>
          <w:rFonts w:hint="eastAsia" w:ascii="Times New Roman" w:hAnsi="Times New Roman" w:eastAsia="仿宋_GB2312" w:cs="Times New Roman"/>
          <w:sz w:val="32"/>
          <w:szCs w:val="32"/>
        </w:rPr>
        <w:t>坚持“政策支持、高端规划、注重创新、技术引进、品牌发展”基本思路，进一步完善加快发展现代职业教育的政策体系，扩大职业教育办学规模，围绕产业布局配置职业教育资源，整合一批弱、小、散的中等职业学校，加快调整优化职业院校布局，推进高水平职业院校建设。重点围绕先进制造业、现代服务业、都市农业、网络经济产业转型发展主线，引导学校及时调整办学定位、专业设置和人才培养规格，促进职业教育链、人才链与产业链、创新链有机衔接，大力培养电子信息、汽车制造、装备制造、新材料、冷链物流、食品药品、跨境贸易电子商务服务、新一代信息技术、生物及医药、智能制造装备等战略、重点、新兴行业产业，进行学校、专业设置调整。</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健全校企合作的管理与保障机制。</w:t>
      </w:r>
      <w:r>
        <w:rPr>
          <w:rFonts w:hint="eastAsia" w:ascii="Times New Roman" w:hAnsi="Times New Roman" w:eastAsia="仿宋_GB2312" w:cs="Times New Roman"/>
          <w:sz w:val="32"/>
          <w:szCs w:val="32"/>
        </w:rPr>
        <w:t>建立健全职业教育工作联席会议制度，落实各级党委、政府对发展职业教育的领导、统筹和协调等职能。加快产教融合与校企合作的制度化，明确产教融合、校企合作过程中各方的权责利，设置校企合作企业资质分类标准，建立合作备案和年度评价机制。完善校企合作激励政策，</w:t>
      </w:r>
      <w:r>
        <w:rPr>
          <w:rFonts w:hint="eastAsia" w:ascii="Times New Roman" w:hAnsi="Times New Roman" w:eastAsia="仿宋_GB2312" w:cs="Times New Roman"/>
          <w:color w:val="auto"/>
          <w:sz w:val="32"/>
          <w:szCs w:val="32"/>
          <w:lang w:eastAsia="zh-CN"/>
        </w:rPr>
        <w:t>探讨设立</w:t>
      </w:r>
      <w:r>
        <w:rPr>
          <w:rFonts w:hint="eastAsia" w:ascii="Times New Roman" w:hAnsi="Times New Roman" w:eastAsia="仿宋_GB2312" w:cs="Times New Roman"/>
          <w:sz w:val="32"/>
          <w:szCs w:val="32"/>
        </w:rPr>
        <w:t>校企合作专项基金，充分调动企业作为重要主体参与校企合作的积极性，发挥学校和企业在校企合作中的双主体作用，提倡引校进厂、引厂进校、校企联办等教育合作形式，支持职业院校举办生产性实训基地，提升校企合作成效和“双元”育人水平。</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创新产教融合推进模式。</w:t>
      </w:r>
      <w:r>
        <w:rPr>
          <w:rFonts w:hint="eastAsia" w:ascii="Times New Roman" w:hAnsi="Times New Roman" w:eastAsia="仿宋_GB2312" w:cs="Times New Roman"/>
          <w:sz w:val="32"/>
          <w:szCs w:val="32"/>
        </w:rPr>
        <w:t>建立“产教融合联盟”,推动职业学校与产业集聚区布局紧密对接。强化中等职业教育园区建设，全力打造国家一流的职业教育示范园区，建成特色凸显的“东职教园区”、教训一体的高端示范性“新密职教园区”和服务惠济区经济发展的“北部职教园区”。建设“现代服务业职教集团”、“现代制造业职教集团”等一批涵盖行业企业的新型职业教育集团，形成产教深度融合的良性互动系统。支持发展一批中高职衔接的职业教育集团。支持和规范社会力量兴办职业技能培训，鼓励发展股份制、混合所有制等职业院校和各类职业培训机构。发挥企业重要办学主体作用，鼓励有条件的企业特别是大企业举办高质量职业教育，提高企业教育科研能力，推动企业办学模式创新。</w:t>
      </w:r>
    </w:p>
    <w:p>
      <w:pPr>
        <w:widowControl/>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培育和开发高质量技术技能人才资源。</w:t>
      </w:r>
      <w:r>
        <w:rPr>
          <w:rFonts w:hint="eastAsia" w:ascii="Times New Roman" w:hAnsi="Times New Roman" w:eastAsia="仿宋_GB2312" w:cs="Times New Roman"/>
          <w:sz w:val="32"/>
          <w:szCs w:val="32"/>
        </w:rPr>
        <w:t>以国家“互联网+”行动计划和“一带一路”战略规划建设为契机，深化职业教育人才培养模式改革，建立健全符合职业教育特点的德育体系和评价模式，推进中高职衔接工作，系统培养职业院校学生创新创业意识，着力培养学生的诚信品质、敬业精神、责任意识和法制观念，全面提高学生的综合职业素养和适应能力。深化课程与教学改革，积极引进世界知名高校和职业教育机构、课程体系和职业资格认证以及其他优质课程资源，提高人才培养质量。分类打造高技术技能人才培养培训基地，加强“双师型”教师队伍建设力度，通过引进、聘用、培养等灵活方式，建设一支数量充足、素质优良、结构合理、专兼结合的“双师型”教师队伍。推进品牌示范院校、特色院校建设，引导支持职业学校探索现代学校制度和现代学徒制，加快建立学校、行业、企业和社区等多方参与的学校理事会或董事会，建立健全体现职业院校办学和管理特点的绩效考核分配机制，完善订单培养、顶岗实习、生产实训、交流任职、员工培训等人才培养制度。</w:t>
      </w:r>
    </w:p>
    <w:p>
      <w:pPr>
        <w:spacing w:line="600" w:lineRule="exact"/>
        <w:ind w:firstLine="643" w:firstLineChars="200"/>
        <w:rPr>
          <w:rFonts w:ascii="楷体_GB2312" w:hAnsi="Calibri Light" w:eastAsia="楷体_GB2312" w:cs="Times New Roman"/>
          <w:b/>
          <w:bCs/>
          <w:kern w:val="0"/>
          <w:sz w:val="32"/>
          <w:szCs w:val="32"/>
        </w:rPr>
      </w:pPr>
      <w:bookmarkStart w:id="37" w:name="_Toc7792380"/>
      <w:bookmarkStart w:id="38" w:name="_Toc9842124"/>
      <w:r>
        <w:rPr>
          <w:rFonts w:hint="eastAsia" w:ascii="楷体_GB2312" w:hAnsi="Calibri Light" w:eastAsia="楷体_GB2312" w:cs="Times New Roman"/>
          <w:b/>
          <w:bCs/>
          <w:kern w:val="0"/>
          <w:sz w:val="32"/>
          <w:szCs w:val="32"/>
        </w:rPr>
        <w:t>5</w:t>
      </w:r>
      <w:r>
        <w:rPr>
          <w:rFonts w:ascii="楷体_GB2312" w:hAnsi="Calibri Light" w:eastAsia="楷体_GB2312" w:cs="Times New Roman"/>
          <w:b/>
          <w:bCs/>
          <w:kern w:val="0"/>
          <w:sz w:val="32"/>
          <w:szCs w:val="32"/>
        </w:rPr>
        <w:t>.</w:t>
      </w:r>
      <w:r>
        <w:rPr>
          <w:rFonts w:hint="eastAsia" w:ascii="仿宋_GB2312" w:hAnsi="仿宋" w:eastAsia="仿宋_GB2312" w:cs="Times New Roman"/>
          <w:b/>
          <w:bCs/>
          <w:sz w:val="32"/>
          <w:szCs w:val="32"/>
        </w:rPr>
        <w:t>提升</w:t>
      </w:r>
      <w:r>
        <w:rPr>
          <w:rFonts w:hint="eastAsia" w:ascii="楷体_GB2312" w:hAnsi="Calibri Light" w:eastAsia="楷体_GB2312" w:cs="Times New Roman"/>
          <w:b/>
          <w:bCs/>
          <w:kern w:val="0"/>
          <w:sz w:val="32"/>
          <w:szCs w:val="32"/>
        </w:rPr>
        <w:t>高等教育发展能级，促进高校与城市融合发展</w:t>
      </w:r>
      <w:bookmarkEnd w:id="37"/>
      <w:bookmarkEnd w:id="38"/>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完善普通高校新型分类体系，形成与国家中心城市建设相适应的高等教育体系。</w:t>
      </w:r>
      <w:r>
        <w:rPr>
          <w:rFonts w:hint="eastAsia" w:ascii="Times New Roman" w:hAnsi="Times New Roman" w:eastAsia="仿宋_GB2312" w:cs="Times New Roman"/>
          <w:sz w:val="32"/>
          <w:szCs w:val="32"/>
        </w:rPr>
        <w:t>采取有针对性的发展支持政策措施，引导不同类型高校确定差异化的发展理念和发展目标</w:t>
      </w:r>
      <w:r>
        <w:rPr>
          <w:rFonts w:ascii="Times New Roman" w:hAnsi="Times New Roman" w:eastAsia="仿宋_GB2312" w:cs="Times New Roman"/>
          <w:sz w:val="32"/>
          <w:szCs w:val="32"/>
        </w:rPr>
        <w:t>,促进高校合理定位，在不同层次、不同领域办出特色、争创一流。</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高水平综合性大学瞄准科技前沿领域和国民经济社会发展的关键领域，积极发展</w:t>
      </w:r>
      <w:r>
        <w:rPr>
          <w:rFonts w:hint="eastAsia" w:ascii="Times New Roman" w:hAnsi="Times New Roman" w:eastAsia="仿宋_GB2312" w:cs="Times New Roman"/>
          <w:sz w:val="32"/>
          <w:szCs w:val="32"/>
        </w:rPr>
        <w:t>战略</w:t>
      </w:r>
      <w:r>
        <w:rPr>
          <w:rFonts w:ascii="Times New Roman" w:hAnsi="Times New Roman" w:eastAsia="仿宋_GB2312" w:cs="Times New Roman"/>
          <w:sz w:val="32"/>
          <w:szCs w:val="32"/>
        </w:rPr>
        <w:t>新兴学科和交叉学科，支撑科技、产业和社会各领域创新发展。提升特色骨干大学办学水平，全面提升学校的</w:t>
      </w:r>
      <w:r>
        <w:rPr>
          <w:rFonts w:hint="eastAsia" w:ascii="Times New Roman" w:hAnsi="Times New Roman" w:eastAsia="仿宋_GB2312" w:cs="Times New Roman"/>
          <w:sz w:val="32"/>
          <w:szCs w:val="32"/>
        </w:rPr>
        <w:t>特色</w:t>
      </w:r>
      <w:r>
        <w:rPr>
          <w:rFonts w:ascii="Times New Roman" w:hAnsi="Times New Roman" w:eastAsia="仿宋_GB2312" w:cs="Times New Roman"/>
          <w:sz w:val="32"/>
          <w:szCs w:val="32"/>
        </w:rPr>
        <w:t>学科建设水平、人才培养能力和社会贡献度。加强应用技术类型本科院校内涵建设，打造一批产业贡献力大、价值创造力高、结构带动力强的应用技术类型高校。结合地方、行业发展实际，重点建设为地</w:t>
      </w:r>
      <w:r>
        <w:rPr>
          <w:rFonts w:hint="eastAsia" w:ascii="Times New Roman" w:hAnsi="Times New Roman" w:eastAsia="仿宋_GB2312" w:cs="Times New Roman"/>
          <w:sz w:val="32"/>
          <w:szCs w:val="32"/>
        </w:rPr>
        <w:t>方经济社会发展提供技术技能人才支撑的</w:t>
      </w:r>
      <w:r>
        <w:rPr>
          <w:rFonts w:ascii="Times New Roman" w:hAnsi="Times New Roman" w:eastAsia="仿宋_GB2312" w:cs="Times New Roman"/>
          <w:sz w:val="32"/>
          <w:szCs w:val="32"/>
        </w:rPr>
        <w:t>优质高等职业学校</w:t>
      </w:r>
      <w:r>
        <w:rPr>
          <w:rFonts w:hint="eastAsia" w:ascii="Times New Roman" w:hAnsi="Times New Roman" w:eastAsia="仿宋_GB2312" w:cs="Times New Roman"/>
          <w:sz w:val="32"/>
          <w:szCs w:val="32"/>
        </w:rPr>
        <w:t>。</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以学科建设为抓手，通过一流学科率先突破，加快推动若干高校进入一流行列。</w:t>
      </w:r>
      <w:r>
        <w:rPr>
          <w:rFonts w:hint="eastAsia" w:ascii="Times New Roman" w:hAnsi="Times New Roman" w:eastAsia="仿宋_GB2312" w:cs="Times New Roman"/>
          <w:sz w:val="32"/>
          <w:szCs w:val="32"/>
        </w:rPr>
        <w:t>落实“河南省优势特色学科建设工程”，加强资源整合，创新体制机制，凝练学科发展方向，突出学科建设重点，打造更多学科高地，力争若干学科（群）进入国内一流学科，加快实现郑州高等教育局部高端突破。深入实施多方共建行业特色高校，加快与国家部（委、局）、国有大中型企业、行业协会等共建一批高校，探索建立高校与部门、行业、企业、协会共建学科、学院和研发中心的机制。鼓励郑州高校积极与东部地区高水平大学开展深层次合作，提高服务经济社会发展的能力和水平。</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完善学科动态调整机制。</w:t>
      </w:r>
      <w:r>
        <w:rPr>
          <w:rFonts w:hint="eastAsia" w:ascii="Times New Roman" w:hAnsi="Times New Roman" w:eastAsia="仿宋_GB2312" w:cs="Times New Roman"/>
          <w:sz w:val="32"/>
          <w:szCs w:val="32"/>
        </w:rPr>
        <w:t>瞄准未来科技发展前沿，服务郑州经济建设，主动适应全省经济结构战略性调整和产业转型升级需要，加快战略新兴产业领域学科专业建设，构建与郑州产业需求、民生改善需要更加适应、基础与应用相互促进、文理工医多学科相互支撑、交叉渗透、协调发展、特色鲜明的学科专业体系。遴选一批学科作为建设，重点</w:t>
      </w:r>
      <w:r>
        <w:rPr>
          <w:rFonts w:ascii="Times New Roman" w:hAnsi="Times New Roman" w:eastAsia="仿宋_GB2312" w:cs="Times New Roman"/>
          <w:sz w:val="32"/>
          <w:szCs w:val="32"/>
        </w:rPr>
        <w:t>助推健康中原建设，服务河南民生发展的重大需求，加强健康服务、全科医学、儿科医学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护理等专业建设，加快紧缺人才培养。加快培养航空经济、新一代信息技术、智能制造、空间信息、新能源汽车、生物经济、先进材料、高端装备制造、节能环保、电子商务等领域人才。服务国家信息经济发展战略，大力发展移动互联网、云计算、大数据、物联网、量子通讯、智能硬件和现代物流等新兴学科</w:t>
      </w:r>
      <w:r>
        <w:rPr>
          <w:rFonts w:hint="eastAsia" w:ascii="Times New Roman" w:hAnsi="Times New Roman" w:eastAsia="仿宋_GB2312" w:cs="Times New Roman"/>
          <w:sz w:val="32"/>
          <w:szCs w:val="32"/>
        </w:rPr>
        <w:t>专业，加快培养信息技术与产业升级、技术创新和社会服务等融合发展的复合型人才。健全专业动态调整机制，实施专业评估，增强专业结构调整的前瞻性，提高专业设置的针对性，拓宽人才培养的适应性。建立健全高校毕业生就业和重点产业人才供需年度报告制度，建立高校毕业生人才需求状况预测和发布机制，依据社会需求、新生报到率和毕业生就业率及时调整专业结构。</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深入实施高校创新能力提升计划。</w:t>
      </w:r>
      <w:r>
        <w:rPr>
          <w:rFonts w:hint="eastAsia" w:ascii="Times New Roman" w:hAnsi="Times New Roman" w:eastAsia="仿宋_GB2312" w:cs="Times New Roman"/>
          <w:sz w:val="32"/>
          <w:szCs w:val="32"/>
        </w:rPr>
        <w:t>以协同创新中心建设为载体，创新机制体制，完善经费政策支持机制，高度集聚创新资源和要素，全面提升高等学校的人才、学科、科研三位一体创新能力。推动高校主动面向行业共性技术、企业关键技术，积极研发储备前沿高新技术，切实提升高校自主创新能力。鼓励高校与国际和国内知名高校、科研院所开展高端科技合作和协同创新，牵头组织或参与国际重大科学计划和科学工程，建设一批高水平国际联合实验室等科技合作机构。深化高校科技评价改革，引导高校依托原创成果加快技术研发和产业化步伐，完善技术转移和成果转化服务机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一步深化高校人文社会科学重点研究基地运行和管理体制改革，坚持马克思主义在哲学社会科学领域的指导地位，繁荣发展高校哲学社会科学。加强黄河文化、河南传统优秀文化和河南精神研究。进一步发挥高校人文学科力量雄厚的优势，深入挖掘中原文化的深厚底蕴，发掘河南先进的思想文化资源。加快推进博士、硕士学位授权单位和授权点建设，提高研究生培养能力。优化学位授权点布局和人才培养类型结构，促进学术学位与专业学位研究生教育的协调发展，扩大研究生培养规模。</w:t>
      </w:r>
    </w:p>
    <w:p>
      <w:pPr>
        <w:spacing w:line="600" w:lineRule="exact"/>
        <w:ind w:firstLine="643" w:firstLineChars="200"/>
        <w:rPr>
          <w:rFonts w:ascii="楷体_GB2312" w:hAnsi="Calibri Light" w:eastAsia="楷体_GB2312" w:cs="Times New Roman"/>
          <w:b/>
          <w:bCs/>
          <w:kern w:val="0"/>
          <w:sz w:val="32"/>
          <w:szCs w:val="32"/>
        </w:rPr>
      </w:pPr>
      <w:bookmarkStart w:id="39" w:name="_Toc7792381"/>
      <w:bookmarkStart w:id="40" w:name="_Toc9842125"/>
      <w:r>
        <w:rPr>
          <w:rFonts w:hint="eastAsia" w:ascii="楷体_GB2312" w:hAnsi="Calibri Light" w:eastAsia="楷体_GB2312" w:cs="Times New Roman"/>
          <w:b/>
          <w:bCs/>
          <w:kern w:val="0"/>
          <w:sz w:val="32"/>
          <w:szCs w:val="32"/>
        </w:rPr>
        <w:t>6</w:t>
      </w:r>
      <w:r>
        <w:rPr>
          <w:rFonts w:ascii="楷体_GB2312" w:hAnsi="Calibri Light" w:eastAsia="楷体_GB2312" w:cs="Times New Roman"/>
          <w:b/>
          <w:bCs/>
          <w:kern w:val="0"/>
          <w:sz w:val="32"/>
          <w:szCs w:val="32"/>
        </w:rPr>
        <w:t>.</w:t>
      </w:r>
      <w:r>
        <w:rPr>
          <w:rFonts w:hint="eastAsia" w:ascii="楷体_GB2312" w:hAnsi="Calibri Light" w:eastAsia="楷体_GB2312" w:cs="Times New Roman"/>
          <w:b/>
          <w:bCs/>
          <w:kern w:val="0"/>
          <w:sz w:val="32"/>
          <w:szCs w:val="32"/>
        </w:rPr>
        <w:t>构建</w:t>
      </w:r>
      <w:r>
        <w:rPr>
          <w:rFonts w:hint="eastAsia" w:ascii="仿宋_GB2312" w:hAnsi="仿宋" w:eastAsia="仿宋_GB2312" w:cs="Times New Roman"/>
          <w:b/>
          <w:bCs/>
          <w:sz w:val="32"/>
          <w:szCs w:val="32"/>
        </w:rPr>
        <w:t>终身</w:t>
      </w:r>
      <w:r>
        <w:rPr>
          <w:rFonts w:hint="eastAsia" w:ascii="楷体_GB2312" w:hAnsi="Calibri Light" w:eastAsia="楷体_GB2312" w:cs="Times New Roman"/>
          <w:b/>
          <w:bCs/>
          <w:kern w:val="0"/>
          <w:sz w:val="32"/>
          <w:szCs w:val="32"/>
        </w:rPr>
        <w:t>学习服务体系</w:t>
      </w:r>
      <w:r>
        <w:rPr>
          <w:rFonts w:ascii="楷体_GB2312" w:hAnsi="Calibri Light" w:eastAsia="楷体_GB2312" w:cs="Times New Roman"/>
          <w:b/>
          <w:bCs/>
          <w:kern w:val="0"/>
          <w:sz w:val="28"/>
          <w:szCs w:val="32"/>
          <w:vertAlign w:val="superscript"/>
        </w:rPr>
        <w:footnoteReference w:id="19"/>
      </w:r>
      <w:r>
        <w:rPr>
          <w:rFonts w:hint="eastAsia" w:ascii="楷体_GB2312" w:hAnsi="Calibri Light" w:eastAsia="楷体_GB2312" w:cs="Times New Roman"/>
          <w:b/>
          <w:bCs/>
          <w:kern w:val="0"/>
          <w:sz w:val="32"/>
          <w:szCs w:val="32"/>
        </w:rPr>
        <w:t>，提供人才成长多种通道</w:t>
      </w:r>
      <w:bookmarkEnd w:id="39"/>
      <w:bookmarkEnd w:id="4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构建服务全体市民的终身学习服务体系</w:t>
      </w:r>
      <w:r>
        <w:rPr>
          <w:rFonts w:hint="eastAsia" w:ascii="Times New Roman" w:hAnsi="Times New Roman" w:eastAsia="仿宋_GB2312"/>
          <w:sz w:val="32"/>
          <w:szCs w:val="32"/>
        </w:rPr>
        <w:t>，是教育现代化发展的迫切要求。现代化的</w:t>
      </w:r>
      <w:r>
        <w:rPr>
          <w:rFonts w:ascii="Times New Roman" w:hAnsi="Times New Roman" w:eastAsia="仿宋_GB2312"/>
          <w:sz w:val="32"/>
          <w:szCs w:val="32"/>
        </w:rPr>
        <w:t>教育是贯穿人</w:t>
      </w:r>
      <w:r>
        <w:rPr>
          <w:rFonts w:hint="eastAsia" w:ascii="Times New Roman" w:hAnsi="Times New Roman" w:eastAsia="仿宋_GB2312"/>
          <w:sz w:val="32"/>
          <w:szCs w:val="32"/>
        </w:rPr>
        <w:t>的</w:t>
      </w:r>
      <w:r>
        <w:rPr>
          <w:rFonts w:ascii="Times New Roman" w:hAnsi="Times New Roman" w:eastAsia="仿宋_GB2312"/>
          <w:sz w:val="32"/>
          <w:szCs w:val="32"/>
        </w:rPr>
        <w:t>一生</w:t>
      </w:r>
      <w:r>
        <w:rPr>
          <w:rFonts w:hint="eastAsia" w:ascii="Times New Roman" w:hAnsi="Times New Roman" w:eastAsia="仿宋_GB2312"/>
          <w:sz w:val="32"/>
          <w:szCs w:val="32"/>
        </w:rPr>
        <w:t>，</w:t>
      </w:r>
      <w:r>
        <w:rPr>
          <w:rFonts w:ascii="Times New Roman" w:hAnsi="Times New Roman" w:eastAsia="仿宋_GB2312"/>
          <w:sz w:val="32"/>
          <w:szCs w:val="32"/>
        </w:rPr>
        <w:t>服务学习者</w:t>
      </w:r>
      <w:r>
        <w:rPr>
          <w:rFonts w:hint="eastAsia" w:ascii="Times New Roman" w:hAnsi="Times New Roman" w:eastAsia="仿宋_GB2312"/>
          <w:sz w:val="32"/>
          <w:szCs w:val="32"/>
        </w:rPr>
        <w:t>终身</w:t>
      </w:r>
      <w:r>
        <w:rPr>
          <w:rFonts w:ascii="Times New Roman" w:hAnsi="Times New Roman" w:eastAsia="仿宋_GB2312"/>
          <w:sz w:val="32"/>
          <w:szCs w:val="32"/>
        </w:rPr>
        <w:t>学习</w:t>
      </w:r>
      <w:r>
        <w:rPr>
          <w:rFonts w:hint="eastAsia" w:ascii="Times New Roman" w:hAnsi="Times New Roman" w:eastAsia="仿宋_GB2312"/>
          <w:sz w:val="32"/>
          <w:szCs w:val="32"/>
        </w:rPr>
        <w:t>的</w:t>
      </w:r>
      <w:r>
        <w:rPr>
          <w:rFonts w:ascii="Times New Roman" w:hAnsi="Times New Roman" w:eastAsia="仿宋_GB2312"/>
          <w:sz w:val="32"/>
          <w:szCs w:val="32"/>
        </w:rPr>
        <w:t>教育。</w:t>
      </w:r>
      <w:r>
        <w:rPr>
          <w:rFonts w:hint="eastAsia" w:ascii="Times New Roman" w:hAnsi="Times New Roman" w:eastAsia="仿宋_GB2312"/>
          <w:sz w:val="32"/>
          <w:szCs w:val="32"/>
        </w:rPr>
        <w:t>将</w:t>
      </w:r>
      <w:r>
        <w:rPr>
          <w:rFonts w:ascii="Times New Roman" w:hAnsi="Times New Roman" w:eastAsia="仿宋_GB2312"/>
          <w:sz w:val="32"/>
          <w:szCs w:val="32"/>
        </w:rPr>
        <w:t>学有所教</w:t>
      </w:r>
      <w:r>
        <w:rPr>
          <w:rFonts w:hint="eastAsia" w:ascii="Times New Roman" w:hAnsi="Times New Roman" w:eastAsia="仿宋_GB2312"/>
          <w:sz w:val="32"/>
          <w:szCs w:val="32"/>
        </w:rPr>
        <w:t>与终身受益作为衡量区域教育中心城市发展水平的重要标准。以服务全体市民的学习为宗旨，建立渠道更加多样畅通、方式更加灵活便捷、资源更加开放优质、环境更加好绿色友好的终身学习服务体系，促进市民人人、时时、处处学习，引领中原推进学习型城市建设，大力提高市民素质。</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b/>
          <w:sz w:val="32"/>
          <w:szCs w:val="32"/>
        </w:rPr>
        <w:t>形成需求为导向的终身教育体系。</w:t>
      </w:r>
      <w:r>
        <w:rPr>
          <w:rFonts w:hint="eastAsia" w:ascii="Times New Roman" w:hAnsi="Times New Roman" w:eastAsia="仿宋_GB2312" w:cs="Times New Roman"/>
          <w:sz w:val="32"/>
          <w:szCs w:val="32"/>
        </w:rPr>
        <w:t>推动政府、社会、市场、企业等多方协同，提供多层次、高质量、宽领域的教育与培训，形成以需求为导向、共建共享的终身教育供给机制。大力发展非学历继续教育，规范发展学历继续教育，创新发展针对</w:t>
      </w:r>
      <w:r>
        <w:rPr>
          <w:rFonts w:ascii="Times New Roman" w:hAnsi="Times New Roman" w:eastAsia="仿宋_GB2312" w:cs="Times New Roman"/>
          <w:sz w:val="32"/>
          <w:szCs w:val="32"/>
        </w:rPr>
        <w:t>居民的不同</w:t>
      </w:r>
      <w:r>
        <w:rPr>
          <w:rFonts w:hint="eastAsia" w:ascii="Times New Roman" w:hAnsi="Times New Roman" w:eastAsia="仿宋_GB2312" w:cs="Times New Roman"/>
          <w:sz w:val="32"/>
          <w:szCs w:val="32"/>
        </w:rPr>
        <w:t>社区教育机构、</w:t>
      </w:r>
      <w:r>
        <w:rPr>
          <w:rFonts w:ascii="Times New Roman" w:hAnsi="Times New Roman" w:eastAsia="仿宋_GB2312" w:cs="Times New Roman"/>
          <w:sz w:val="32"/>
          <w:szCs w:val="32"/>
        </w:rPr>
        <w:t>流动学习站</w:t>
      </w:r>
      <w:r>
        <w:rPr>
          <w:rFonts w:hint="eastAsia" w:ascii="Times New Roman" w:hAnsi="Times New Roman" w:eastAsia="仿宋_GB2312" w:cs="Times New Roman"/>
          <w:sz w:val="32"/>
          <w:szCs w:val="32"/>
        </w:rPr>
        <w:t>，推进各类老年教育机构的内涵建设，打造终身学习的各类载体及公共学习空间。以商都文化、嵩山文化、黄帝文化、黄河文化等为引领，坚持智慧城市建设与文化特色彰显相结合，全面建成“文化+智慧”的成人教育体系。</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b/>
          <w:sz w:val="32"/>
          <w:szCs w:val="32"/>
        </w:rPr>
        <w:t>建立公共数字化的终身教育资源。</w:t>
      </w:r>
      <w:r>
        <w:rPr>
          <w:rFonts w:hint="eastAsia" w:ascii="Times New Roman" w:hAnsi="Times New Roman" w:eastAsia="仿宋_GB2312" w:cs="Times New Roman"/>
          <w:sz w:val="32"/>
          <w:szCs w:val="32"/>
        </w:rPr>
        <w:t>充分运用信息化技术，优化学习环境，构建开放、多元、灵活的继续教育平台，实现大规模智慧学习平台对所有学习者的全覆盖，为社会提供优质的终身教育服务。加快各级各类学习型组织建设，推动多种学习方式、学习过程相互衔接，多途径扩增数字化学习资源，为不同群体提供开放、系统的在线课程资源，畅通继续教育、终身学习通道。</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b/>
          <w:sz w:val="32"/>
          <w:szCs w:val="32"/>
        </w:rPr>
        <w:t>加强学习型社会建设的制度保障。</w:t>
      </w:r>
      <w:r>
        <w:rPr>
          <w:rFonts w:hint="eastAsia" w:ascii="Times New Roman" w:hAnsi="Times New Roman" w:eastAsia="仿宋_GB2312" w:cs="Times New Roman"/>
          <w:sz w:val="32"/>
          <w:szCs w:val="32"/>
        </w:rPr>
        <w:t>推动各级各类教育相互开放、衔接融通，探索建立各类非学历教育的资格标准，建立各种学习成果认定和转换制度。建立教育培训机构的资质标准和专业发展标准。建立学分积累与转换制度，探索非学历教育学习成果认定和转换，完善不同专业、不同主考院校的学分认定和转换。建立健全职业教育与普通教育、学历教育与非学历教育、职前教育与职后教育沟通衔接的机制。</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b/>
          <w:sz w:val="32"/>
          <w:szCs w:val="32"/>
        </w:rPr>
        <w:t>建立各方参与的终身教育治理模式。</w:t>
      </w:r>
      <w:r>
        <w:rPr>
          <w:rFonts w:hint="eastAsia" w:ascii="Times New Roman" w:hAnsi="Times New Roman" w:eastAsia="仿宋_GB2312" w:cs="Times New Roman"/>
          <w:sz w:val="32"/>
          <w:szCs w:val="32"/>
        </w:rPr>
        <w:t>营造有利于社会组织参与的政策和制度环境，全面推进郑州终身教育体系构建和学习型社会建设工作。部门、行业企业、高校等举办的老年大学树立新的办学理念，积极创造条件，采取多种形式，提高办学开放度，逐步从服务本单位、本系统离退休职工向服务社会老年人转变。建立政府与社会组织的合作伙伴关系，形成政府—市场—社会三方供给格局，完善政府购买终身教育服务机制。</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b/>
          <w:sz w:val="32"/>
          <w:szCs w:val="32"/>
        </w:rPr>
        <w:t>合力推进全民技能振兴工程。</w:t>
      </w:r>
      <w:r>
        <w:rPr>
          <w:rFonts w:hint="eastAsia" w:ascii="Times New Roman" w:hAnsi="Times New Roman" w:eastAsia="仿宋_GB2312" w:cs="Times New Roman"/>
          <w:sz w:val="32"/>
          <w:szCs w:val="32"/>
        </w:rPr>
        <w:t>坚持“六路并进”，统筹协调安排人力资源和社会保障、教育、农业、民政、扶贫、残联等部门的成人职业培训项目与资金，发挥各部门和行业优势，强化成人职业培训效果，全面提升劳动者职业技术技能和就业创业能力，合力支持全民技能振兴工程实施。</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41" w:name="_Toc6181"/>
      <w:r>
        <w:rPr>
          <w:rFonts w:hint="eastAsia" w:ascii="楷体_GB2312" w:hAnsi="Calibri Light" w:eastAsia="楷体_GB2312" w:cs="Times New Roman"/>
          <w:b/>
          <w:bCs/>
          <w:kern w:val="0"/>
          <w:sz w:val="32"/>
          <w:szCs w:val="32"/>
        </w:rPr>
        <w:t>（四）加强创新能力整体建设，夯实教育高质量发展基础</w:t>
      </w:r>
      <w:bookmarkEnd w:id="41"/>
    </w:p>
    <w:p>
      <w:pPr>
        <w:widowControl/>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．提升教育创新能力</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建立健全教研指导与培训机构。</w:t>
      </w:r>
      <w:r>
        <w:rPr>
          <w:rFonts w:hint="eastAsia" w:ascii="Times New Roman" w:hAnsi="Times New Roman" w:eastAsia="仿宋_GB2312" w:cs="Times New Roman"/>
          <w:sz w:val="32"/>
          <w:szCs w:val="32"/>
        </w:rPr>
        <w:t>加强市、区教育教学专业研究机构、教师培训机构建设，配齐配足教研科研与教师培训专职队伍。加强教研科研与培训队伍自身能力建设，优化教研科研指导力量，提高教研科研与培训对教学质量提升的贡献度。推进市、区（县）教师进修机构、教研、电教、科研等部门职能和资源整合，促进区域内教科研训一体化。</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加强教学研究工作。</w:t>
      </w:r>
      <w:bookmarkStart w:id="42" w:name="_Hlk6002831"/>
      <w:r>
        <w:rPr>
          <w:rFonts w:hint="eastAsia" w:ascii="Times New Roman" w:hAnsi="Times New Roman" w:eastAsia="仿宋_GB2312" w:cs="Times New Roman"/>
          <w:sz w:val="32"/>
          <w:szCs w:val="32"/>
        </w:rPr>
        <w:t>抓好教学常规管理，完善校本教研制度，</w:t>
      </w:r>
      <w:bookmarkEnd w:id="42"/>
      <w:r>
        <w:rPr>
          <w:rFonts w:hint="eastAsia" w:ascii="Times New Roman" w:hAnsi="Times New Roman" w:eastAsia="仿宋_GB2312" w:cs="Times New Roman"/>
          <w:sz w:val="32"/>
          <w:szCs w:val="32"/>
        </w:rPr>
        <w:t>优化全市网络教学研平台，全面开展“同频互动”教研活动，丰富教研手段。</w:t>
      </w:r>
      <w:bookmarkStart w:id="43" w:name="_Hlk6002857"/>
      <w:r>
        <w:rPr>
          <w:rFonts w:hint="eastAsia" w:ascii="Times New Roman" w:hAnsi="Times New Roman" w:eastAsia="仿宋_GB2312" w:cs="Times New Roman"/>
          <w:sz w:val="32"/>
          <w:szCs w:val="32"/>
        </w:rPr>
        <w:t>开展学科高地建设项目，实施学科团队发展计划，围绕学科重大问题，采取团队攻坚，提升科研创新力度，提高学科教学的有效性。</w:t>
      </w:r>
      <w:bookmarkEnd w:id="43"/>
      <w:r>
        <w:rPr>
          <w:rFonts w:hint="eastAsia" w:ascii="Times New Roman" w:hAnsi="Times New Roman" w:eastAsia="仿宋_GB2312" w:cs="Times New Roman"/>
          <w:sz w:val="32"/>
          <w:szCs w:val="32"/>
        </w:rPr>
        <w:t>加强理科教学研究，激发中小学生科学探究兴趣与能力。</w:t>
      </w:r>
    </w:p>
    <w:p>
      <w:pPr>
        <w:widowControl/>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sz w:val="32"/>
          <w:szCs w:val="32"/>
        </w:rPr>
        <w:t xml:space="preserve"> </w:t>
      </w:r>
      <w:bookmarkStart w:id="44" w:name="_Hlk5917155"/>
      <w:r>
        <w:rPr>
          <w:rFonts w:hint="eastAsia" w:ascii="Times New Roman" w:hAnsi="Times New Roman" w:eastAsia="仿宋_GB2312" w:cs="Times New Roman"/>
          <w:b/>
          <w:sz w:val="32"/>
          <w:szCs w:val="32"/>
        </w:rPr>
        <w:t>完善各类教育质量监测与评价制度</w:t>
      </w:r>
      <w:bookmarkEnd w:id="44"/>
    </w:p>
    <w:p>
      <w:pPr>
        <w:widowControl/>
        <w:spacing w:line="600" w:lineRule="exact"/>
        <w:ind w:firstLine="643" w:firstLineChars="200"/>
        <w:rPr>
          <w:rFonts w:ascii="Times New Roman" w:hAnsi="Times New Roman" w:eastAsia="仿宋_GB2312" w:cs="Times New Roman"/>
          <w:sz w:val="32"/>
          <w:szCs w:val="32"/>
        </w:rPr>
      </w:pPr>
      <w:bookmarkStart w:id="45" w:name="_Hlk5917177"/>
      <w:r>
        <w:rPr>
          <w:rFonts w:hint="eastAsia" w:ascii="Times New Roman" w:hAnsi="Times New Roman" w:eastAsia="仿宋_GB2312" w:cs="Times New Roman"/>
          <w:b/>
          <w:sz w:val="32"/>
          <w:szCs w:val="32"/>
        </w:rPr>
        <w:t>加强学前教育质量监测</w:t>
      </w:r>
      <w:r>
        <w:rPr>
          <w:rFonts w:hint="eastAsia" w:ascii="Times New Roman" w:hAnsi="Times New Roman" w:eastAsia="仿宋_GB2312" w:cs="Times New Roman"/>
          <w:sz w:val="32"/>
          <w:szCs w:val="32"/>
        </w:rPr>
        <w:t>。完善幼儿园办园质量评估制度，健全幼儿园保教质量动态监测机制，推进跨部门参与的儿童体质健康监测及研究。</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建立健全义务教育质量监测体系</w:t>
      </w:r>
      <w:r>
        <w:rPr>
          <w:rFonts w:hint="eastAsia" w:ascii="Times New Roman" w:hAnsi="Times New Roman" w:eastAsia="仿宋_GB2312" w:cs="Times New Roman"/>
          <w:sz w:val="32"/>
          <w:szCs w:val="32"/>
        </w:rPr>
        <w:t>。提升全面、动态、伴随式收集和挖掘分析数据能力，构建基于证据的义务教育教学改进机制。建立健全义务教育学生课业负担常态化监测和治理机制</w:t>
      </w:r>
      <w:bookmarkEnd w:id="45"/>
      <w:r>
        <w:rPr>
          <w:rFonts w:hint="eastAsia" w:ascii="Times New Roman" w:hAnsi="Times New Roman" w:eastAsia="仿宋_GB2312" w:cs="Times New Roman"/>
          <w:sz w:val="32"/>
          <w:szCs w:val="32"/>
        </w:rPr>
        <w:t>，从规范课程开设、改革课堂教学、转变评价方式、净化校外环境、规范办学行为、推进教师队伍建设、加强家校合作、课后服务工作等方面切实减轻学生过重课业负担。</w:t>
      </w:r>
    </w:p>
    <w:p>
      <w:pPr>
        <w:widowControl/>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推进普通高中考试招生制度改革。</w:t>
      </w:r>
      <w:r>
        <w:rPr>
          <w:rFonts w:hint="eastAsia" w:ascii="Times New Roman" w:hAnsi="Times New Roman" w:eastAsia="仿宋_GB2312" w:cs="Times New Roman"/>
          <w:sz w:val="32"/>
          <w:szCs w:val="32"/>
        </w:rPr>
        <w:t>继续提高普通高中招生录取工作透明度，实施与完善“四个统一”、“四网一标准”的中高考运作模式。完善学业水平考试制度，推进自主招生、名额分配招生、综合素质评价工作，改进招生录取办法，健全考试招生制度。</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46" w:name="_Toc1027632"/>
      <w:bookmarkStart w:id="47" w:name="_Toc20082"/>
      <w:r>
        <w:rPr>
          <w:rFonts w:hint="eastAsia" w:ascii="楷体_GB2312" w:hAnsi="Calibri Light" w:eastAsia="楷体_GB2312" w:cs="Times New Roman"/>
          <w:b/>
          <w:bCs/>
          <w:kern w:val="0"/>
          <w:sz w:val="32"/>
          <w:szCs w:val="32"/>
        </w:rPr>
        <w:t>（五）</w:t>
      </w:r>
      <w:bookmarkEnd w:id="46"/>
      <w:r>
        <w:rPr>
          <w:rFonts w:hint="eastAsia" w:ascii="楷体_GB2312" w:hAnsi="Calibri Light" w:eastAsia="楷体_GB2312" w:cs="Times New Roman"/>
          <w:b/>
          <w:bCs/>
          <w:kern w:val="0"/>
          <w:sz w:val="32"/>
          <w:szCs w:val="32"/>
        </w:rPr>
        <w:t>建设高水平的教师队伍，支撑区域教育中心建设</w:t>
      </w:r>
      <w:bookmarkEnd w:id="47"/>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加强师德师风建设和思想政治工作</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加强师德师风长效机制建设。</w:t>
      </w:r>
      <w:r>
        <w:rPr>
          <w:rFonts w:hint="eastAsia" w:ascii="Times New Roman" w:hAnsi="Times New Roman" w:eastAsia="仿宋_GB2312" w:cs="Times New Roman"/>
          <w:sz w:val="32"/>
          <w:szCs w:val="32"/>
        </w:rPr>
        <w:t>把师德师风作为评价教师队伍素质的第一标准。开展多种形式的师德教育，把师德师风建设融入培养、培训和管理的全过程，建立健全教育、宣传、考核、监督与奖惩相结合的师德师风建设长效机制。创新工作手段和载体，开辟思想教育新阵地，抓好骨干教师和学科带头人培训，组织广大教师开展多种形式的社会实践活动，引导广大教师带头践行社会主义核心价值观，增进对中国特色社会主义的思想认同、理论认同和情感认同。</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完善师德师风考评与管理制度。</w:t>
      </w:r>
      <w:r>
        <w:rPr>
          <w:rFonts w:hint="eastAsia" w:ascii="Times New Roman" w:hAnsi="Times New Roman" w:eastAsia="仿宋_GB2312" w:cs="Times New Roman"/>
          <w:sz w:val="32"/>
          <w:szCs w:val="32"/>
        </w:rPr>
        <w:t>将师德师风建设作为学校工作考核和办学质量评估的重要指标</w:t>
      </w:r>
      <w:r>
        <w:rPr>
          <w:rFonts w:ascii="Times New Roman" w:hAnsi="Times New Roman" w:eastAsia="仿宋_GB2312" w:cs="Times New Roman"/>
          <w:sz w:val="32"/>
          <w:szCs w:val="32"/>
        </w:rPr>
        <w:t>,把师德师风表现作为教师资格定期注册、业绩考核、职称评审、岗位聘用、评优奖励的首要内容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实行师德师风表现“一票否决制”。</w:t>
      </w:r>
      <w:r>
        <w:rPr>
          <w:rFonts w:hint="eastAsia" w:ascii="Times New Roman" w:hAnsi="Times New Roman" w:eastAsia="仿宋_GB2312" w:cs="Times New Roman"/>
          <w:sz w:val="32"/>
          <w:szCs w:val="32"/>
        </w:rPr>
        <w:t>建立师德事件及舆情快速反映机制，及时掌握师德师风信息动态，及时纠正不良倾向和问题。完善学校科研学术规范，健全学术不端行为查处惩治机制。</w:t>
      </w:r>
      <w:r>
        <w:rPr>
          <w:rFonts w:ascii="Times New Roman" w:hAnsi="Times New Roman" w:eastAsia="仿宋_GB2312" w:cs="Times New Roman"/>
          <w:sz w:val="32"/>
          <w:szCs w:val="32"/>
        </w:rPr>
        <w:t>完善师德师风表彰奖励制度，大力宣传和表彰优秀教师和师德标兵，提升教师职业的崇高感和荣誉感。</w:t>
      </w:r>
      <w:r>
        <w:rPr>
          <w:rFonts w:hint="eastAsia" w:ascii="Times New Roman" w:hAnsi="Times New Roman" w:eastAsia="仿宋_GB2312" w:cs="Times New Roman"/>
          <w:sz w:val="32"/>
          <w:szCs w:val="32"/>
        </w:rPr>
        <w:t>继续深入落实师德主题教育活动和“河南最美教师”公益评选活动。</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深化教师教育领域综合改革</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加强现代教师教育体系建设。</w:t>
      </w:r>
      <w:r>
        <w:rPr>
          <w:rFonts w:hint="eastAsia" w:ascii="Times New Roman" w:hAnsi="Times New Roman" w:eastAsia="仿宋_GB2312" w:cs="Times New Roman"/>
          <w:sz w:val="32"/>
          <w:szCs w:val="32"/>
        </w:rPr>
        <w:t>构建以师范院校为主体、教师培训机构为支撑、综合大学积极参与、开放灵活的现代教师教育体系，重点建设好师范院校和师范专业。完善师范生招生制度，</w:t>
      </w:r>
      <w:r>
        <w:rPr>
          <w:rFonts w:ascii="Times New Roman" w:hAnsi="Times New Roman" w:eastAsia="仿宋_GB2312" w:cs="Times New Roman"/>
          <w:sz w:val="32"/>
          <w:szCs w:val="32"/>
        </w:rPr>
        <w:t>探索师范生实行提前批次录取、增加面试环节等方面的招生考试制度改革，选拔乐教适教的优秀学生攻读师范类专业。逐步解决幼儿园、中小学教师性别结构失衡问题。扩大教育硕士招生规模，培养高层次中小学和中等职业学校教师。</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加强县级教师培训机构建设</w:t>
      </w:r>
      <w:r>
        <w:rPr>
          <w:rFonts w:hint="eastAsia" w:ascii="Times New Roman" w:hAnsi="Times New Roman" w:eastAsia="仿宋_GB2312" w:cs="Times New Roman"/>
          <w:b/>
          <w:sz w:val="32"/>
          <w:szCs w:val="32"/>
        </w:rPr>
        <w:t>。</w:t>
      </w:r>
      <w:r>
        <w:rPr>
          <w:rFonts w:ascii="Times New Roman" w:hAnsi="Times New Roman" w:eastAsia="仿宋_GB2312" w:cs="Times New Roman"/>
          <w:sz w:val="32"/>
          <w:szCs w:val="32"/>
        </w:rPr>
        <w:t>积极推进县级教师培训机构与教研、科研、电教等部门的整合与联合，规范县（市、区）域教师</w:t>
      </w:r>
      <w:r>
        <w:rPr>
          <w:rFonts w:hint="eastAsia" w:ascii="Times New Roman" w:hAnsi="Times New Roman" w:eastAsia="仿宋_GB2312" w:cs="Times New Roman"/>
          <w:sz w:val="32"/>
          <w:szCs w:val="32"/>
        </w:rPr>
        <w:t>发展平台，统筹区域内教师全员培训工作。</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推进教师培养培训模式改革</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实施教师教育联动发展共同体建设计划。</w:t>
      </w:r>
      <w:r>
        <w:rPr>
          <w:rFonts w:hint="eastAsia" w:ascii="Times New Roman" w:hAnsi="Times New Roman" w:eastAsia="仿宋_GB2312" w:cs="Times New Roman"/>
          <w:sz w:val="32"/>
          <w:szCs w:val="32"/>
        </w:rPr>
        <w:t>建立健全高等学校与地方政府、中小学幼儿园（中等职业学校）、教科研部门及县级教师培训机构协同培养的教师教育机制。</w:t>
      </w:r>
      <w:r>
        <w:rPr>
          <w:rFonts w:ascii="Times New Roman" w:hAnsi="Times New Roman" w:eastAsia="仿宋_GB2312" w:cs="Times New Roman"/>
          <w:sz w:val="32"/>
          <w:szCs w:val="32"/>
        </w:rPr>
        <w:t>加强教师教育学科建设，培育教师教育优秀教学成果。</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卓越教师培养计划、教师教育师资队伍专项培训计划、教师教育课程与教学改革项目研究计划、教师教育基地建设计划。</w:t>
      </w:r>
      <w:r>
        <w:rPr>
          <w:rFonts w:hint="eastAsia" w:ascii="Times New Roman" w:hAnsi="Times New Roman" w:eastAsia="仿宋_GB2312" w:cs="Times New Roman"/>
          <w:sz w:val="32"/>
          <w:szCs w:val="32"/>
        </w:rPr>
        <w:t>加快</w:t>
      </w:r>
      <w:r>
        <w:rPr>
          <w:rFonts w:ascii="Times New Roman" w:hAnsi="Times New Roman" w:eastAsia="仿宋_GB2312" w:cs="Times New Roman"/>
          <w:sz w:val="32"/>
          <w:szCs w:val="32"/>
        </w:rPr>
        <w:t>共建</w:t>
      </w:r>
      <w:r>
        <w:rPr>
          <w:rFonts w:hint="eastAsia" w:ascii="Times New Roman" w:hAnsi="Times New Roman" w:eastAsia="仿宋_GB2312" w:cs="Times New Roman"/>
          <w:sz w:val="32"/>
          <w:szCs w:val="32"/>
        </w:rPr>
        <w:t>职业院校“双师型”教师培养培训基地。</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分类推进教师培养模式改革。</w:t>
      </w:r>
      <w:r>
        <w:rPr>
          <w:rFonts w:hint="eastAsia" w:ascii="Times New Roman" w:hAnsi="Times New Roman" w:eastAsia="仿宋_GB2312" w:cs="Times New Roman"/>
          <w:sz w:val="32"/>
          <w:szCs w:val="32"/>
        </w:rPr>
        <w:t>积极推行幼儿园教师综合培养、小学教师全科培养、特殊教育教师师范院校与医学院联合培养、高中教师本硕一体化分段培养、中职教师“双师型”培养模式。积极开展师范本科生主辅修制度和师范类专业“双学位”认证。推进教师网络研修社区建设，建立教师培训公共服务平台，探索建立教师自主选学机制。健全教师学习培训制度，</w:t>
      </w:r>
      <w:r>
        <w:rPr>
          <w:rFonts w:ascii="Times New Roman" w:hAnsi="Times New Roman" w:eastAsia="仿宋_GB2312" w:cs="Times New Roman"/>
          <w:sz w:val="32"/>
          <w:szCs w:val="32"/>
        </w:rPr>
        <w:t>建立教师、校长专业发展的支持服务体系。</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深化教师管理制度改革，健全教师评价机制</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完善各级各类学校教师编制标准。</w:t>
      </w:r>
      <w:r>
        <w:rPr>
          <w:rFonts w:hint="eastAsia" w:ascii="Times New Roman" w:hAnsi="Times New Roman" w:eastAsia="仿宋_GB2312" w:cs="Times New Roman"/>
          <w:sz w:val="32"/>
          <w:szCs w:val="32"/>
        </w:rPr>
        <w:t>健全“国标、省考、县聘、校用”的中小学、幼儿园教师职业准入和管理制度。优化城乡中小学教师资源配置，将县镇、农村中小学教职工编制标准统一到城市标准。完善符合职业教育特点的职业学校教师资格标准。探索建立特殊教育教师专业证书制度。健全幼儿园教师补充机制，</w:t>
      </w:r>
      <w:r>
        <w:rPr>
          <w:rFonts w:ascii="Times New Roman" w:hAnsi="Times New Roman" w:eastAsia="仿宋_GB2312" w:cs="Times New Roman"/>
          <w:sz w:val="32"/>
          <w:szCs w:val="32"/>
        </w:rPr>
        <w:t>强化对园长的培训与管理。根据学校布局结构调整、在校生变化等情况及时调整中小学教职工编制动态管理。县（市、区）级教育部门在核定编制总额内，统</w:t>
      </w:r>
      <w:r>
        <w:rPr>
          <w:rFonts w:hint="eastAsia" w:ascii="Times New Roman" w:hAnsi="Times New Roman" w:eastAsia="仿宋_GB2312" w:cs="Times New Roman"/>
          <w:sz w:val="32"/>
          <w:szCs w:val="32"/>
        </w:rPr>
        <w:t>筹分配各校教职工编制，并报同级机构编制部门和财政部门备案。</w:t>
      </w:r>
      <w:r>
        <w:rPr>
          <w:rFonts w:hint="eastAsia" w:eastAsia="仿宋" w:cs="Times New Roman"/>
          <w:sz w:val="32"/>
          <w:szCs w:val="32"/>
        </w:rPr>
        <w:t>落实中小学校教师招聘自主权，按规定组织实施教师自主招聘工作。</w:t>
      </w:r>
      <w:r>
        <w:rPr>
          <w:rFonts w:hint="eastAsia" w:ascii="Times New Roman" w:hAnsi="Times New Roman" w:eastAsia="仿宋_GB2312" w:cs="Times New Roman"/>
          <w:sz w:val="32"/>
          <w:szCs w:val="32"/>
        </w:rPr>
        <w:t>全面推进县</w:t>
      </w:r>
      <w:r>
        <w:rPr>
          <w:rFonts w:ascii="Times New Roman" w:hAnsi="Times New Roman" w:eastAsia="仿宋_GB2312" w:cs="Times New Roman"/>
          <w:sz w:val="32"/>
          <w:szCs w:val="32"/>
        </w:rPr>
        <w:t>(市、区)域内教师、校长轮岗交流工作，公开轮岗交流相关信息。实行职业院校和高等学校教师分类管理制度，完善职业院校和高等学校兼职教师制度，建立专兼职结合的教学和科研队伍。全面实施国家教师资格统一考试和定期注册制度，完善各类学校教师转岗和退出机制。</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完善教师专业技术水平评价标准。</w:t>
      </w:r>
      <w:r>
        <w:rPr>
          <w:rFonts w:hint="eastAsia" w:ascii="Times New Roman" w:hAnsi="Times New Roman" w:eastAsia="仿宋_GB2312" w:cs="Times New Roman"/>
          <w:sz w:val="32"/>
          <w:szCs w:val="32"/>
        </w:rPr>
        <w:t>健全工作程序和评审规则，建立评审专家责任制，全面推行评价结果公示制度。</w:t>
      </w:r>
      <w:r>
        <w:rPr>
          <w:rFonts w:ascii="Times New Roman" w:hAnsi="Times New Roman" w:eastAsia="仿宋_GB2312" w:cs="Times New Roman"/>
          <w:sz w:val="32"/>
          <w:szCs w:val="32"/>
        </w:rPr>
        <w:t>向落实校长、教师交流轮岗制度的单位倾斜，同等条件下交流轮岗教师优先。支持符合条件的职业学校和高等学校兼职教师申报相应系列教师专业技术职务。城镇中小学教师在评聘高级职务（职称）时,原则上要有一年以上在农村学校或薄弱学校任教经历。</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提高教师地位，营造教育家办学环境</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保障教师的政治地位、社会地位和职业地位。</w:t>
      </w:r>
      <w:r>
        <w:rPr>
          <w:rFonts w:hint="eastAsia" w:ascii="Times New Roman" w:hAnsi="Times New Roman" w:eastAsia="仿宋_GB2312" w:cs="Times New Roman"/>
          <w:sz w:val="32"/>
          <w:szCs w:val="32"/>
        </w:rPr>
        <w:t>切实改善教师工作和生活条件，吸引和鼓励优秀人才长期从教、终身从教。依法保证教师平均工资不低于当地公务员的平均工资水平，并逐步提高。全面落实义务教育学校教师绩效工资，稳步实施非义务教育学校教师绩效工资工作。保障公办幼儿园、普通高中学校教师工资，合理调配教职工，妥善解决非在编教师工资待遇等问题，逐步实现同工同酬。关心教师身心健康，落实和完善教师医疗、养老等社会保障制度，加强民办学校教师权益保障。落实特殊教育学校教师补贴标准。落实乡村教师支持计划，为农村义务教育学校教师建设周转宿舍，让广大教师在岗位上有幸福感、在事业上有成就感、在社会上有荣誉感、在职业上有优越感。</w:t>
      </w:r>
    </w:p>
    <w:p>
      <w:pPr>
        <w:widowControl/>
        <w:spacing w:line="600" w:lineRule="atLeas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创造教育家办学的良好环境。</w:t>
      </w:r>
      <w:r>
        <w:rPr>
          <w:rFonts w:ascii="Times New Roman" w:hAnsi="Times New Roman" w:eastAsia="仿宋_GB2312" w:cs="Times New Roman"/>
          <w:kern w:val="0"/>
          <w:sz w:val="32"/>
          <w:szCs w:val="32"/>
        </w:rPr>
        <w:t>创造有利条件，鼓励支持教师和校长大胆创新，开展有特色的实践探索，实施校长职级制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造就一批新时代的教育家。加强教育系统干训师训机构的专业化建设，全面提升培训者的专业水平</w:t>
      </w:r>
      <w:r>
        <w:rPr>
          <w:rFonts w:hint="eastAsia" w:ascii="Times New Roman" w:hAnsi="Times New Roman" w:eastAsia="仿宋_GB2312" w:cs="Times New Roman"/>
          <w:kern w:val="0"/>
          <w:sz w:val="32"/>
          <w:szCs w:val="32"/>
        </w:rPr>
        <w:t>，持续实施校长课程领导力提升工程，</w:t>
      </w:r>
      <w:r>
        <w:rPr>
          <w:rFonts w:ascii="Times New Roman" w:hAnsi="Times New Roman" w:eastAsia="仿宋_GB2312" w:cs="Times New Roman"/>
          <w:kern w:val="0"/>
          <w:sz w:val="32"/>
          <w:szCs w:val="32"/>
        </w:rPr>
        <w:t>建立各级教育校长和教师境外研学新机制，提升校长和教师的全球化视野和参与国际交流合作的能力和水平</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为教育家办学提供坚实支撑。</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48" w:name="_Toc1027633"/>
      <w:bookmarkStart w:id="49" w:name="_Toc25678"/>
      <w:bookmarkStart w:id="50" w:name="_Toc459732874"/>
      <w:r>
        <w:rPr>
          <w:rFonts w:hint="eastAsia" w:ascii="楷体_GB2312" w:hAnsi="Calibri Light" w:eastAsia="楷体_GB2312" w:cs="Times New Roman"/>
          <w:b/>
          <w:bCs/>
          <w:kern w:val="0"/>
          <w:sz w:val="32"/>
          <w:szCs w:val="32"/>
        </w:rPr>
        <w:t>（六）</w:t>
      </w:r>
      <w:bookmarkEnd w:id="48"/>
      <w:r>
        <w:rPr>
          <w:rFonts w:hint="eastAsia" w:ascii="楷体_GB2312" w:hAnsi="Calibri Light" w:eastAsia="楷体_GB2312" w:cs="Times New Roman"/>
          <w:b/>
          <w:bCs/>
          <w:kern w:val="0"/>
          <w:sz w:val="32"/>
          <w:szCs w:val="32"/>
        </w:rPr>
        <w:t>加快智慧教育系统发展，推动教育教学实践新变革</w:t>
      </w:r>
      <w:bookmarkEnd w:id="49"/>
    </w:p>
    <w:bookmarkEnd w:id="50"/>
    <w:p>
      <w:pPr>
        <w:widowControl/>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将信息化作为推动郑州教育现代化发展的动力源，创建全国智慧教育试验区，推动“智慧教育”成为建设新型智慧城市和国家中部大数据中心中的特色品牌。通过教育信息化融合发展，服务和支撑学习者基于个性需求的终身学习。</w:t>
      </w:r>
    </w:p>
    <w:p>
      <w:pPr>
        <w:widowControl/>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1.打造安全可靠的基础环境</w:t>
      </w:r>
    </w:p>
    <w:p>
      <w:pPr>
        <w:widowControl/>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提升教育信息化基础发展能力。</w:t>
      </w:r>
      <w:r>
        <w:rPr>
          <w:rFonts w:hint="eastAsia" w:ascii="仿宋_GB2312" w:hAnsi="宋体" w:eastAsia="仿宋_GB2312" w:cs="宋体"/>
          <w:sz w:val="32"/>
          <w:szCs w:val="32"/>
        </w:rPr>
        <w:t>实施教育信息化基础设施提升工程，科学规划教育城域网整体架构，完善网络配套设施，逐步普及</w:t>
      </w:r>
      <w:r>
        <w:rPr>
          <w:rFonts w:ascii="仿宋_GB2312" w:hAnsi="宋体" w:eastAsia="仿宋_GB2312" w:cs="宋体"/>
          <w:sz w:val="32"/>
          <w:szCs w:val="32"/>
        </w:rPr>
        <w:t>和</w:t>
      </w:r>
      <w:r>
        <w:rPr>
          <w:rFonts w:hint="eastAsia" w:ascii="仿宋_GB2312" w:hAnsi="宋体" w:eastAsia="仿宋_GB2312" w:cs="宋体"/>
          <w:sz w:val="32"/>
          <w:szCs w:val="32"/>
        </w:rPr>
        <w:t>高水平</w:t>
      </w:r>
      <w:r>
        <w:rPr>
          <w:rFonts w:ascii="仿宋_GB2312" w:hAnsi="宋体" w:eastAsia="仿宋_GB2312" w:cs="宋体"/>
          <w:sz w:val="32"/>
          <w:szCs w:val="32"/>
        </w:rPr>
        <w:t>运用</w:t>
      </w:r>
      <w:r>
        <w:rPr>
          <w:rFonts w:hint="eastAsia" w:ascii="仿宋_GB2312" w:hAnsi="宋体" w:eastAsia="仿宋_GB2312" w:cs="宋体"/>
          <w:sz w:val="32"/>
          <w:szCs w:val="32"/>
        </w:rPr>
        <w:t>5G及</w:t>
      </w:r>
      <w:r>
        <w:rPr>
          <w:rFonts w:ascii="仿宋_GB2312" w:hAnsi="宋体" w:eastAsia="仿宋_GB2312" w:cs="宋体"/>
          <w:sz w:val="32"/>
          <w:szCs w:val="32"/>
        </w:rPr>
        <w:t>人工智能等方面的技术，</w:t>
      </w:r>
      <w:r>
        <w:rPr>
          <w:rFonts w:hint="eastAsia" w:ascii="仿宋_GB2312" w:hAnsi="宋体" w:eastAsia="仿宋_GB2312" w:cs="宋体"/>
          <w:sz w:val="32"/>
          <w:szCs w:val="32"/>
        </w:rPr>
        <w:t>提高人均互联网带宽，实现区域内网络高速互联互通。通过设立专项、政策引领等方式，加大学校信息化设备更新力度，鼓励运用物联网、云架构、云储存、云服务等技术，对已接入网络进行宽带扩充和结构优化，实现学校无线网络全覆盖。</w:t>
      </w:r>
    </w:p>
    <w:p>
      <w:pPr>
        <w:widowControl/>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提升智慧化管理水平。</w:t>
      </w:r>
      <w:r>
        <w:rPr>
          <w:rFonts w:hint="eastAsia" w:ascii="仿宋_GB2312" w:hAnsi="宋体" w:eastAsia="仿宋_GB2312" w:cs="宋体"/>
          <w:sz w:val="32"/>
          <w:szCs w:val="32"/>
        </w:rPr>
        <w:t>加强教育信息化标准、规范、政策和规划建设，推进数据共享，提升政府决策、行政管理中利用大数据分析的程度。建构各级各类学校全覆盖的教师、学生、学校数据大平台。健全覆盖市、区、校三级体系的教育考试管理服务平台，实现招考全程智能化管理、信息化服务。研制数字教材标准，强化各种网络学习系统的标准化、规范化建设，进一步落实各级各类教育单位的网络安全主体责任，强化网络安全教育，加大信息安全保障力度，建立数字化学习产品的准入制度，杜绝不良信息对青少年的侵害。</w:t>
      </w:r>
    </w:p>
    <w:p>
      <w:pPr>
        <w:widowControl/>
        <w:spacing w:line="600" w:lineRule="exact"/>
        <w:ind w:firstLine="643" w:firstLineChars="200"/>
        <w:jc w:val="left"/>
        <w:rPr>
          <w:rFonts w:ascii="仿宋_GB2312" w:hAnsi="宋体" w:eastAsia="仿宋_GB2312" w:cs="宋体"/>
          <w:b/>
          <w:bCs/>
          <w:sz w:val="32"/>
          <w:szCs w:val="32"/>
        </w:rPr>
      </w:pPr>
      <w:r>
        <w:rPr>
          <w:rFonts w:hint="eastAsia" w:ascii="仿宋_GB2312" w:hAnsi="宋体" w:eastAsia="仿宋_GB2312" w:cs="宋体"/>
          <w:b/>
          <w:bCs/>
          <w:sz w:val="32"/>
          <w:szCs w:val="32"/>
        </w:rPr>
        <w:t>2.深化基于信息技术深度融合的教育教学改革</w:t>
      </w:r>
    </w:p>
    <w:p>
      <w:pPr>
        <w:widowControl/>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提升师生信息素养。</w:t>
      </w:r>
      <w:r>
        <w:rPr>
          <w:rFonts w:hint="eastAsia" w:ascii="仿宋_GB2312" w:hAnsi="宋体" w:eastAsia="仿宋_GB2312" w:cs="宋体"/>
          <w:sz w:val="32"/>
          <w:szCs w:val="32"/>
        </w:rPr>
        <w:t>将信息素养纳入各级各类人才培养方案，推进信息科技课程建设，提升学生的数字化学习与实践能力，加强学生网络安全、网络道德等方面的引导，适时开展学生信息素养测评。提升教师适应未来学习形态的能力，引导教师开展精准化教学和学情动态化分析与评价，开展个性化教学和辅导，支持教师成为优质教育资源的创造者和分享者。研发推广教学智能化助手，提升教师育人效果。将信息化应用能力纳入教师职称晋升、绩效评价和职业发展规划，建立健全各级各类教师信息化常态化培训机制，加强大中小幼校长信息化领导能力培训。</w:t>
      </w:r>
    </w:p>
    <w:p>
      <w:pPr>
        <w:widowControl/>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开展基于大数据驱动的因材施教。</w:t>
      </w:r>
      <w:r>
        <w:rPr>
          <w:rFonts w:hint="eastAsia" w:ascii="仿宋_GB2312" w:hAnsi="宋体" w:eastAsia="仿宋_GB2312" w:cs="宋体"/>
          <w:sz w:val="32"/>
          <w:szCs w:val="32"/>
        </w:rPr>
        <w:t>建立智慧体验课堂，推动教材数字化、智能化，促进课堂学习与课外学习、真实环境与虚拟环境、线下与线上学习系统的有机结合。推动个性化教学常态化，建设基于大数据、人工智能等新技术的学习信息管理系统，提升学生学情反映的精准化、动态化、数据化程度，实现作业、测评、课程的智能化适配，健全教育质量监控、反馈和改进机制。建立学生学习的跨学段、长周期、全覆盖的记录、跟踪与评价系统，服务学习者的终身发展。</w:t>
      </w:r>
    </w:p>
    <w:p>
      <w:pPr>
        <w:widowControl/>
        <w:spacing w:line="600" w:lineRule="exact"/>
        <w:ind w:firstLine="643" w:firstLineChars="200"/>
        <w:jc w:val="left"/>
        <w:rPr>
          <w:rFonts w:ascii="仿宋_GB2312" w:hAnsi="宋体" w:eastAsia="仿宋_GB2312" w:cs="宋体"/>
          <w:b/>
          <w:bCs/>
          <w:sz w:val="32"/>
          <w:szCs w:val="32"/>
        </w:rPr>
      </w:pPr>
      <w:r>
        <w:rPr>
          <w:rFonts w:hint="eastAsia" w:ascii="仿宋_GB2312" w:hAnsi="宋体" w:eastAsia="仿宋_GB2312" w:cs="宋体"/>
          <w:b/>
          <w:sz w:val="32"/>
          <w:szCs w:val="32"/>
        </w:rPr>
        <w:t>大力推动智慧校园建设。</w:t>
      </w:r>
      <w:r>
        <w:rPr>
          <w:rFonts w:hint="eastAsia" w:ascii="仿宋_GB2312" w:hAnsi="宋体" w:eastAsia="仿宋_GB2312" w:cs="宋体"/>
          <w:sz w:val="32"/>
          <w:szCs w:val="32"/>
        </w:rPr>
        <w:t>逐步实现智慧校园全覆盖，打造一批智慧校园标杆学校。推动学习情景识别与环境感知、校园移动互联和学习分析等技术在校园应用，鼓励学校在基础设施设计、建筑空间规划、绿色节能等方面开展理念创新和技术改造，创设立体动态、无缝对接的可感知化、互联化、智能化和泛在化智慧学习空间。完善在线智慧“教”“学”应用平台，实现教师在线备课、师生网络平台互动及各类教育资源共享，构建教育教学数据挖掘和分析支撑系统，形成一体化的教学服务和质量监测系统。推动学校运行实现远程管理、状态监控、动态跟踪的精准化、智能化治理。</w:t>
      </w:r>
    </w:p>
    <w:p>
      <w:pPr>
        <w:widowControl/>
        <w:spacing w:line="600" w:lineRule="exact"/>
        <w:ind w:firstLine="643" w:firstLineChars="200"/>
        <w:jc w:val="left"/>
        <w:rPr>
          <w:rFonts w:ascii="仿宋_GB2312" w:hAnsi="宋体" w:eastAsia="仿宋_GB2312" w:cs="宋体"/>
          <w:b/>
          <w:bCs/>
          <w:sz w:val="32"/>
          <w:szCs w:val="32"/>
        </w:rPr>
      </w:pPr>
      <w:r>
        <w:rPr>
          <w:rFonts w:ascii="仿宋_GB2312" w:hAnsi="宋体" w:eastAsia="仿宋_GB2312" w:cs="宋体"/>
          <w:b/>
          <w:bCs/>
          <w:sz w:val="32"/>
          <w:szCs w:val="32"/>
        </w:rPr>
        <w:t>3</w:t>
      </w:r>
      <w:r>
        <w:rPr>
          <w:rFonts w:hint="eastAsia" w:ascii="仿宋_GB2312" w:hAnsi="宋体" w:eastAsia="仿宋_GB2312" w:cs="宋体"/>
          <w:b/>
          <w:bCs/>
          <w:sz w:val="32"/>
          <w:szCs w:val="32"/>
        </w:rPr>
        <w:t>.实现优质教育资源的共建共享</w:t>
      </w:r>
    </w:p>
    <w:p>
      <w:pPr>
        <w:widowControl/>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完善教育资源公共服务平台。</w:t>
      </w:r>
      <w:r>
        <w:rPr>
          <w:rFonts w:hint="eastAsia" w:ascii="仿宋_GB2312" w:hAnsi="宋体" w:eastAsia="仿宋_GB2312" w:cs="宋体"/>
          <w:sz w:val="32"/>
          <w:szCs w:val="32"/>
        </w:rPr>
        <w:t>推动政府公共教育服务供给智能化、精确化发展。推动各类教学资源创生和机制创新，大力推进基础教育、高等教育、职业教育和校外教育的数字教学资源库建设。充分运用信息化技术优势，提升农村学校和城市薄弱学校教育质量。在整合提升郑州教育信息网、郑州基础教育教研网等平台基础上，建设郑州教育云，实现“人人、处处、时时”的大规模在线优质学习资源精准供给，加快推进学习型社会进程。</w:t>
      </w:r>
    </w:p>
    <w:p>
      <w:pPr>
        <w:widowControl/>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形成教育资源共建共享机制。</w:t>
      </w:r>
      <w:r>
        <w:rPr>
          <w:rFonts w:hint="eastAsia" w:ascii="仿宋_GB2312" w:hAnsi="宋体" w:eastAsia="仿宋_GB2312" w:cs="宋体"/>
          <w:sz w:val="32"/>
          <w:szCs w:val="32"/>
        </w:rPr>
        <w:t>建立市场主导、多方参与、开放平等、共建共享的信息化教育资源和服务供给模式。推动各级各类学校、社会机构开发集聚优质教育资源，引导企业为学校提供技术输出、课程开发、解决方案联合制定等服务，鼓励政府和各级各类教育单位购买优质数字教育资源服务。推动高校图书馆数字资源的开放共享，增强全市各级各类学校图书馆协同共建能力，提高图书数字资源的使用效率。加快有序发展“互联网+教育”，鼓励高等教育、职业教育和继续教育创新业态。</w:t>
      </w:r>
    </w:p>
    <w:p>
      <w:pPr>
        <w:widowControl/>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4</w:t>
      </w:r>
      <w:r>
        <w:rPr>
          <w:rFonts w:ascii="仿宋_GB2312" w:hAnsi="宋体" w:eastAsia="仿宋_GB2312" w:cs="宋体"/>
          <w:b/>
          <w:sz w:val="32"/>
          <w:szCs w:val="32"/>
        </w:rPr>
        <w:t>.</w:t>
      </w:r>
      <w:r>
        <w:rPr>
          <w:rFonts w:hint="eastAsia" w:ascii="仿宋_GB2312" w:hAnsi="宋体" w:eastAsia="仿宋_GB2312" w:cs="宋体"/>
          <w:b/>
          <w:sz w:val="32"/>
          <w:szCs w:val="32"/>
        </w:rPr>
        <w:t>构建郑州教育决策服务系统</w:t>
      </w:r>
    </w:p>
    <w:p>
      <w:pPr>
        <w:widowControl/>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立足郑州建成区域性教育中心需求，对接国家教育科学决策服务系统</w:t>
      </w:r>
      <w:r>
        <w:rPr>
          <w:rFonts w:ascii="仿宋_GB2312" w:hAnsi="宋体" w:eastAsia="楷体_GB2312" w:cs="宋体"/>
          <w:sz w:val="28"/>
          <w:szCs w:val="32"/>
          <w:vertAlign w:val="superscript"/>
        </w:rPr>
        <w:footnoteReference w:id="20"/>
      </w:r>
      <w:r>
        <w:rPr>
          <w:rFonts w:hint="eastAsia" w:ascii="仿宋_GB2312" w:hAnsi="宋体" w:eastAsia="仿宋_GB2312" w:cs="宋体"/>
          <w:sz w:val="32"/>
          <w:szCs w:val="32"/>
        </w:rPr>
        <w:t>，整合郑州人口发展与教育统计数据、调查数据、学业质量数据和国家中心城市比较数据，开展基于支持系统的教育决策，实现教育宏观管理、信息技术与教育决策研究的深度整合，提高教育决策的科学化、民主化和精致化。</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51" w:name="_Toc1027635"/>
      <w:bookmarkStart w:id="52" w:name="_Toc3489"/>
      <w:r>
        <w:rPr>
          <w:rFonts w:hint="eastAsia" w:ascii="楷体_GB2312" w:hAnsi="Calibri Light" w:eastAsia="楷体_GB2312" w:cs="Times New Roman"/>
          <w:b/>
          <w:bCs/>
          <w:kern w:val="0"/>
          <w:sz w:val="32"/>
          <w:szCs w:val="32"/>
        </w:rPr>
        <w:t>（七）实现更高水平教育开放，</w:t>
      </w:r>
      <w:bookmarkEnd w:id="51"/>
      <w:r>
        <w:rPr>
          <w:rFonts w:hint="eastAsia" w:ascii="楷体_GB2312" w:hAnsi="Calibri Light" w:eastAsia="楷体_GB2312" w:cs="Times New Roman"/>
          <w:b/>
          <w:bCs/>
          <w:kern w:val="0"/>
          <w:sz w:val="32"/>
          <w:szCs w:val="32"/>
        </w:rPr>
        <w:t>提升教育国际影响力和竞争力</w:t>
      </w:r>
      <w:bookmarkEnd w:id="52"/>
    </w:p>
    <w:p>
      <w:pPr>
        <w:widowControl/>
        <w:spacing w:line="600" w:lineRule="exact"/>
        <w:ind w:firstLine="640" w:firstLineChars="20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以建设</w:t>
      </w:r>
      <w:r>
        <w:rPr>
          <w:rFonts w:hint="eastAsia" w:ascii="仿宋_GB2312" w:hAnsi="Times New Roman" w:eastAsia="仿宋_GB2312" w:cs="仿宋_GB2312"/>
          <w:color w:val="000000"/>
          <w:kern w:val="0"/>
          <w:sz w:val="32"/>
          <w:szCs w:val="32"/>
        </w:rPr>
        <w:t>国家区域性</w:t>
      </w:r>
      <w:r>
        <w:rPr>
          <w:rFonts w:ascii="仿宋_GB2312" w:hAnsi="Times New Roman" w:eastAsia="仿宋_GB2312" w:cs="仿宋_GB2312"/>
          <w:color w:val="000000"/>
          <w:kern w:val="0"/>
          <w:sz w:val="32"/>
          <w:szCs w:val="32"/>
        </w:rPr>
        <w:t>教育中心城市为引领，强化</w:t>
      </w:r>
      <w:r>
        <w:rPr>
          <w:rFonts w:hint="eastAsia" w:ascii="仿宋_GB2312" w:hAnsi="Times New Roman" w:eastAsia="仿宋_GB2312" w:cs="仿宋_GB2312"/>
          <w:color w:val="000000"/>
          <w:kern w:val="0"/>
          <w:sz w:val="32"/>
          <w:szCs w:val="32"/>
        </w:rPr>
        <w:t>郑州</w:t>
      </w:r>
      <w:r>
        <w:rPr>
          <w:rFonts w:ascii="仿宋_GB2312" w:hAnsi="Times New Roman" w:eastAsia="仿宋_GB2312" w:cs="仿宋_GB2312"/>
          <w:color w:val="000000"/>
          <w:kern w:val="0"/>
          <w:sz w:val="32"/>
          <w:szCs w:val="32"/>
        </w:rPr>
        <w:t>优质教育资源配置能力，实现更高水平的教育开放，提升教育交流合作层级，主动贡献和分享教育改革发展经验，为国家中部地区</w:t>
      </w:r>
      <w:r>
        <w:rPr>
          <w:rFonts w:hint="eastAsia" w:ascii="仿宋_GB2312" w:hAnsi="Times New Roman" w:eastAsia="仿宋_GB2312" w:cs="仿宋_GB2312"/>
          <w:color w:val="000000"/>
          <w:kern w:val="0"/>
          <w:sz w:val="32"/>
          <w:szCs w:val="32"/>
        </w:rPr>
        <w:t>、</w:t>
      </w:r>
      <w:r>
        <w:rPr>
          <w:rFonts w:ascii="仿宋_GB2312" w:hAnsi="Times New Roman" w:eastAsia="仿宋_GB2312" w:cs="仿宋_GB2312"/>
          <w:color w:val="000000"/>
          <w:kern w:val="0"/>
          <w:sz w:val="32"/>
          <w:szCs w:val="32"/>
        </w:rPr>
        <w:t>中原城市群和国际社会提供更多的教育公共产品，在区域教育发展中发挥引领作用，将郑州建设成为优秀教育人才集聚高地之一。</w:t>
      </w:r>
    </w:p>
    <w:p>
      <w:pPr>
        <w:widowControl/>
        <w:spacing w:line="600" w:lineRule="exact"/>
        <w:ind w:firstLine="643" w:firstLineChars="200"/>
        <w:rPr>
          <w:rFonts w:ascii="仿宋_GB2312" w:hAnsi="Times New Roman" w:eastAsia="仿宋_GB2312" w:cs="仿宋_GB2312"/>
          <w:b/>
          <w:bCs/>
          <w:color w:val="000000"/>
          <w:kern w:val="0"/>
          <w:sz w:val="32"/>
          <w:szCs w:val="32"/>
        </w:rPr>
      </w:pPr>
      <w:r>
        <w:rPr>
          <w:rFonts w:ascii="仿宋_GB2312" w:hAnsi="Times New Roman" w:eastAsia="仿宋_GB2312" w:cs="仿宋_GB2312"/>
          <w:b/>
          <w:bCs/>
          <w:color w:val="000000"/>
          <w:kern w:val="0"/>
          <w:sz w:val="32"/>
          <w:szCs w:val="32"/>
        </w:rPr>
        <w:t>1.加快提升教育对外开放水平</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加强国际教育资源的本土融合创新。</w:t>
      </w:r>
      <w:r>
        <w:rPr>
          <w:rFonts w:ascii="仿宋_GB2312" w:hAnsi="Times New Roman" w:eastAsia="仿宋_GB2312" w:cs="仿宋_GB2312"/>
          <w:color w:val="000000"/>
          <w:kern w:val="0"/>
          <w:sz w:val="32"/>
          <w:szCs w:val="32"/>
        </w:rPr>
        <w:t>吸引世界一流高校和职业学校、研究机构与相关学校合作，扎根中国建设一批高水平中外合作创新型大学、学科专业和项目。</w:t>
      </w:r>
      <w:r>
        <w:rPr>
          <w:rFonts w:ascii="仿宋_GB2312" w:hAnsi="Times New Roman" w:eastAsia="仿宋_GB2312" w:cs="仿宋_GB2312"/>
          <w:bCs/>
          <w:color w:val="000000"/>
          <w:kern w:val="0"/>
          <w:sz w:val="32"/>
          <w:szCs w:val="32"/>
        </w:rPr>
        <w:t>积极</w:t>
      </w:r>
      <w:r>
        <w:rPr>
          <w:rFonts w:ascii="仿宋_GB2312" w:hAnsi="Times New Roman" w:eastAsia="仿宋_GB2312" w:cs="仿宋_GB2312"/>
          <w:color w:val="000000"/>
          <w:kern w:val="0"/>
          <w:sz w:val="32"/>
          <w:szCs w:val="32"/>
        </w:rPr>
        <w:t>引进世界顶级教育资源和国际先进教育模式，推进国际资源、经验与本土的融合与创新，培养各类具有国际视野和国际事务参与能力的高端人才。</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推进对外交流与合作</w:t>
      </w:r>
      <w:r>
        <w:rPr>
          <w:rFonts w:ascii="仿宋_GB2312" w:hAnsi="Times New Roman" w:eastAsia="仿宋_GB2312" w:cs="仿宋_GB2312"/>
          <w:color w:val="000000"/>
          <w:kern w:val="0"/>
          <w:sz w:val="32"/>
          <w:szCs w:val="32"/>
        </w:rPr>
        <w:t>。继续扩大选派学生和教师赴海外学习交流规模，稳步推进孔子学院、孔子课堂和境外汉语教学中心建设，着重推动融合中外的教育交流合作品牌项目发展。</w:t>
      </w:r>
    </w:p>
    <w:p>
      <w:pPr>
        <w:widowControl/>
        <w:spacing w:line="600" w:lineRule="exact"/>
        <w:ind w:firstLine="643" w:firstLineChars="200"/>
        <w:rPr>
          <w:rFonts w:ascii="仿宋_GB2312" w:hAnsi="Times New Roman" w:eastAsia="仿宋_GB2312" w:cs="仿宋_GB2312"/>
          <w:b/>
          <w:bCs/>
          <w:color w:val="000000"/>
          <w:kern w:val="0"/>
          <w:sz w:val="32"/>
          <w:szCs w:val="32"/>
        </w:rPr>
      </w:pPr>
      <w:r>
        <w:rPr>
          <w:rFonts w:ascii="仿宋_GB2312" w:hAnsi="Times New Roman" w:eastAsia="仿宋_GB2312" w:cs="仿宋_GB2312"/>
          <w:b/>
          <w:bCs/>
          <w:color w:val="000000"/>
          <w:kern w:val="0"/>
          <w:sz w:val="32"/>
          <w:szCs w:val="32"/>
        </w:rPr>
        <w:t>2.不断增强对全球优秀人才的吸引力</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提升留学生培养质量和规模。</w:t>
      </w:r>
      <w:r>
        <w:rPr>
          <w:rFonts w:ascii="仿宋_GB2312" w:hAnsi="Times New Roman" w:eastAsia="仿宋_GB2312" w:cs="仿宋_GB2312"/>
          <w:color w:val="000000"/>
          <w:kern w:val="0"/>
          <w:sz w:val="32"/>
          <w:szCs w:val="32"/>
        </w:rPr>
        <w:t>进一步扩大来郑留学生规模，优化留学生结构，实现学历生比例和理科生比例显著提升。借鉴国际先进经验，建立规范并符合国际惯例的招生制度。鼓励高校开发特色优势专业课程、加大品牌专业和课程推广力度，完善留学生教育质量评估和认证机制。</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完善优秀人才引进的保障机制。</w:t>
      </w:r>
      <w:r>
        <w:rPr>
          <w:rFonts w:ascii="仿宋_GB2312" w:hAnsi="Times New Roman" w:eastAsia="仿宋_GB2312" w:cs="仿宋_GB2312"/>
          <w:color w:val="000000"/>
          <w:kern w:val="0"/>
          <w:sz w:val="32"/>
          <w:szCs w:val="32"/>
        </w:rPr>
        <w:t>吸引国际顶尖学者来郑实质性参与各级学校的教学和科研工作。完成全球优秀人才一体化事务协调机构与平台建设，完善优秀留学生永久居留、在郑创新创业等方面的制度。</w:t>
      </w:r>
    </w:p>
    <w:p>
      <w:pPr>
        <w:widowControl/>
        <w:spacing w:line="600" w:lineRule="exact"/>
        <w:ind w:firstLine="643" w:firstLineChars="200"/>
        <w:rPr>
          <w:rFonts w:ascii="仿宋_GB2312" w:hAnsi="Times New Roman" w:eastAsia="仿宋_GB2312" w:cs="仿宋_GB2312"/>
          <w:b/>
          <w:bCs/>
          <w:color w:val="000000"/>
          <w:kern w:val="0"/>
          <w:sz w:val="32"/>
          <w:szCs w:val="32"/>
        </w:rPr>
      </w:pPr>
      <w:r>
        <w:rPr>
          <w:rFonts w:ascii="仿宋_GB2312" w:hAnsi="Times New Roman" w:eastAsia="仿宋_GB2312" w:cs="仿宋_GB2312"/>
          <w:b/>
          <w:bCs/>
          <w:color w:val="000000"/>
          <w:kern w:val="0"/>
          <w:sz w:val="32"/>
          <w:szCs w:val="32"/>
        </w:rPr>
        <w:t>3.全面提升郑州教育国际影响力</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有效提升服务“一带一路”能力。</w:t>
      </w:r>
      <w:r>
        <w:rPr>
          <w:rFonts w:ascii="仿宋_GB2312" w:hAnsi="Times New Roman" w:eastAsia="仿宋_GB2312" w:cs="仿宋_GB2312"/>
          <w:color w:val="000000"/>
          <w:kern w:val="0"/>
          <w:sz w:val="32"/>
          <w:szCs w:val="32"/>
        </w:rPr>
        <w:t>与国家层面“走出去”战略相衔接，引导高校、职业院校与行业、企业、投资、消费同步“走出去”。鼓励职业院校拓展海外办学和培训范围，合作建立高端职业教育和培训机构。继续发挥教育在人文交流合作的作用，推动与“一带一路”沿线国家联合建立研究中心及教育智库，举办国际合作论坛。依托高校建设若干“一带一路”沿线国家政府和专业人才培训基地，培养知华友华的国外精英。</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扩大郑州优秀教育经验的对外传播。</w:t>
      </w:r>
      <w:r>
        <w:rPr>
          <w:rFonts w:ascii="仿宋_GB2312" w:hAnsi="Times New Roman" w:eastAsia="仿宋_GB2312" w:cs="仿宋_GB2312"/>
          <w:color w:val="000000"/>
          <w:kern w:val="0"/>
          <w:sz w:val="32"/>
          <w:szCs w:val="32"/>
        </w:rPr>
        <w:t>树立教育自信，与全球分享中国特色、郑州特点的教育理念、发展经验和治理模式。扩大郑州先进教育理念和经验的影响力，与世界分享推动教育现代化</w:t>
      </w:r>
      <w:r>
        <w:rPr>
          <w:rFonts w:hint="eastAsia" w:ascii="仿宋_GB2312" w:hAnsi="Times New Roman" w:eastAsia="仿宋_GB2312" w:cs="仿宋_GB2312"/>
          <w:color w:val="000000"/>
          <w:kern w:val="0"/>
          <w:sz w:val="32"/>
          <w:szCs w:val="32"/>
        </w:rPr>
        <w:t>、促进</w:t>
      </w:r>
      <w:r>
        <w:rPr>
          <w:rFonts w:ascii="仿宋_GB2312" w:hAnsi="Times New Roman" w:eastAsia="仿宋_GB2312" w:cs="仿宋_GB2312"/>
          <w:color w:val="000000"/>
          <w:kern w:val="0"/>
          <w:sz w:val="32"/>
          <w:szCs w:val="32"/>
        </w:rPr>
        <w:t>教育可持续发展的“中国智慧”和“郑州经验”，说好教育现代化的“郑州故事”。</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服务城市对外开放大局。</w:t>
      </w:r>
      <w:r>
        <w:rPr>
          <w:rFonts w:ascii="仿宋_GB2312" w:hAnsi="Times New Roman" w:eastAsia="仿宋_GB2312" w:cs="仿宋_GB2312"/>
          <w:color w:val="000000"/>
          <w:kern w:val="0"/>
          <w:sz w:val="32"/>
          <w:szCs w:val="32"/>
        </w:rPr>
        <w:t>提高郑州代表国家参加教育国际合作竞争力。鼓励专家学者参与国际教育科研组织。持续加强国际教育质量评估以及全球教育和人力资源发展比较研究，积极参与国际教育标准和教育质量评估体系的制定。争取一批具有影响力的专业性国际组织代表机构、全球性教育组织常驻机构入驻。</w:t>
      </w:r>
      <w:r>
        <w:rPr>
          <w:rFonts w:hint="eastAsia" w:ascii="仿宋_GB2312" w:hAnsi="Times New Roman" w:eastAsia="仿宋_GB2312" w:cs="仿宋_GB2312"/>
          <w:color w:val="000000"/>
          <w:kern w:val="0"/>
          <w:sz w:val="32"/>
          <w:szCs w:val="32"/>
        </w:rPr>
        <w:t>推进</w:t>
      </w:r>
      <w:r>
        <w:rPr>
          <w:rFonts w:ascii="仿宋_GB2312" w:hAnsi="Times New Roman" w:eastAsia="仿宋_GB2312" w:cs="仿宋_GB2312"/>
          <w:color w:val="000000"/>
          <w:kern w:val="0"/>
          <w:sz w:val="32"/>
          <w:szCs w:val="32"/>
        </w:rPr>
        <w:t>与国际教育组织的合作交流，定期召开国际教育、学术及智库论坛，使郑州成为全球教育智慧汇聚与交融的重要</w:t>
      </w:r>
      <w:r>
        <w:rPr>
          <w:rFonts w:hint="eastAsia" w:ascii="仿宋_GB2312" w:hAnsi="Times New Roman" w:eastAsia="仿宋_GB2312" w:cs="仿宋_GB2312"/>
          <w:color w:val="000000"/>
          <w:kern w:val="0"/>
          <w:sz w:val="32"/>
          <w:szCs w:val="32"/>
        </w:rPr>
        <w:t>城市</w:t>
      </w:r>
      <w:r>
        <w:rPr>
          <w:rFonts w:ascii="仿宋_GB2312" w:hAnsi="Times New Roman" w:eastAsia="仿宋_GB2312" w:cs="仿宋_GB2312"/>
          <w:color w:val="000000"/>
          <w:kern w:val="0"/>
          <w:sz w:val="32"/>
          <w:szCs w:val="32"/>
        </w:rPr>
        <w:t>。</w:t>
      </w:r>
    </w:p>
    <w:p>
      <w:pPr>
        <w:widowControl/>
        <w:spacing w:line="600" w:lineRule="exact"/>
        <w:ind w:firstLine="643" w:firstLineChars="200"/>
        <w:rPr>
          <w:rFonts w:ascii="仿宋_GB2312" w:hAnsi="Times New Roman" w:eastAsia="仿宋_GB2312" w:cs="仿宋_GB2312"/>
          <w:b/>
          <w:bCs/>
          <w:color w:val="000000"/>
          <w:kern w:val="0"/>
          <w:sz w:val="32"/>
          <w:szCs w:val="32"/>
        </w:rPr>
      </w:pPr>
      <w:r>
        <w:rPr>
          <w:rFonts w:ascii="仿宋_GB2312" w:hAnsi="Times New Roman" w:eastAsia="仿宋_GB2312" w:cs="仿宋_GB2312"/>
          <w:b/>
          <w:bCs/>
          <w:color w:val="000000"/>
          <w:kern w:val="0"/>
          <w:sz w:val="32"/>
          <w:szCs w:val="32"/>
        </w:rPr>
        <w:t>4.大力推进</w:t>
      </w:r>
      <w:r>
        <w:rPr>
          <w:rFonts w:hint="eastAsia" w:ascii="仿宋_GB2312" w:hAnsi="Times New Roman" w:eastAsia="仿宋_GB2312" w:cs="仿宋_GB2312"/>
          <w:b/>
          <w:bCs/>
          <w:color w:val="000000"/>
          <w:kern w:val="0"/>
          <w:sz w:val="32"/>
          <w:szCs w:val="32"/>
        </w:rPr>
        <w:t>中原</w:t>
      </w:r>
      <w:r>
        <w:rPr>
          <w:rFonts w:ascii="仿宋_GB2312" w:hAnsi="Times New Roman" w:eastAsia="仿宋_GB2312" w:cs="仿宋_GB2312"/>
          <w:b/>
          <w:bCs/>
          <w:color w:val="000000"/>
          <w:kern w:val="0"/>
          <w:sz w:val="32"/>
          <w:szCs w:val="32"/>
        </w:rPr>
        <w:t>城市群教育高质量发展</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bCs/>
          <w:color w:val="000000"/>
          <w:kern w:val="0"/>
          <w:sz w:val="32"/>
          <w:szCs w:val="32"/>
        </w:rPr>
        <w:t>发挥</w:t>
      </w:r>
      <w:r>
        <w:rPr>
          <w:rFonts w:hint="eastAsia" w:ascii="仿宋_GB2312" w:hAnsi="Times New Roman" w:eastAsia="仿宋_GB2312" w:cs="仿宋_GB2312"/>
          <w:b/>
          <w:bCs/>
          <w:color w:val="000000"/>
          <w:kern w:val="0"/>
          <w:sz w:val="32"/>
          <w:szCs w:val="32"/>
        </w:rPr>
        <w:t>中原</w:t>
      </w:r>
      <w:r>
        <w:rPr>
          <w:rFonts w:ascii="仿宋_GB2312" w:hAnsi="Times New Roman" w:eastAsia="仿宋_GB2312" w:cs="仿宋_GB2312"/>
          <w:b/>
          <w:bCs/>
          <w:color w:val="000000"/>
          <w:kern w:val="0"/>
          <w:sz w:val="32"/>
          <w:szCs w:val="32"/>
        </w:rPr>
        <w:t>城市群教育高质量发展龙头作用。</w:t>
      </w:r>
      <w:r>
        <w:rPr>
          <w:rFonts w:ascii="仿宋_GB2312" w:hAnsi="Times New Roman" w:eastAsia="仿宋_GB2312" w:cs="仿宋_GB2312"/>
          <w:color w:val="000000"/>
          <w:kern w:val="0"/>
          <w:sz w:val="32"/>
          <w:szCs w:val="32"/>
        </w:rPr>
        <w:t>实现郑州各级各类教育与</w:t>
      </w:r>
      <w:r>
        <w:rPr>
          <w:rFonts w:hint="eastAsia" w:ascii="仿宋_GB2312" w:hAnsi="Times New Roman" w:eastAsia="仿宋_GB2312" w:cs="仿宋_GB2312"/>
          <w:color w:val="000000"/>
          <w:kern w:val="0"/>
          <w:sz w:val="32"/>
          <w:szCs w:val="32"/>
        </w:rPr>
        <w:t>中原</w:t>
      </w:r>
      <w:r>
        <w:rPr>
          <w:rFonts w:ascii="仿宋_GB2312" w:hAnsi="Times New Roman" w:eastAsia="仿宋_GB2312" w:cs="仿宋_GB2312"/>
          <w:color w:val="000000"/>
          <w:kern w:val="0"/>
          <w:sz w:val="32"/>
          <w:szCs w:val="32"/>
        </w:rPr>
        <w:t>城市群的协同治理。强化共商共治共推协同创新机制建设，共谋区域教育现代化发展愿景和战略框架，形成教育区域创新共同体。</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color w:val="000000"/>
          <w:kern w:val="0"/>
          <w:sz w:val="32"/>
          <w:szCs w:val="32"/>
        </w:rPr>
        <w:t>聚焦教育发展优势领域加快实现资源共享。</w:t>
      </w:r>
      <w:r>
        <w:rPr>
          <w:rFonts w:ascii="仿宋_GB2312" w:hAnsi="Times New Roman" w:eastAsia="仿宋_GB2312" w:cs="仿宋_GB2312"/>
          <w:color w:val="000000"/>
          <w:kern w:val="0"/>
          <w:sz w:val="32"/>
          <w:szCs w:val="32"/>
        </w:rPr>
        <w:t>建立</w:t>
      </w:r>
      <w:r>
        <w:rPr>
          <w:rFonts w:hint="eastAsia" w:ascii="仿宋_GB2312" w:hAnsi="Times New Roman" w:eastAsia="仿宋_GB2312" w:cs="仿宋_GB2312"/>
          <w:color w:val="000000"/>
          <w:kern w:val="0"/>
          <w:sz w:val="32"/>
          <w:szCs w:val="32"/>
        </w:rPr>
        <w:t>中原</w:t>
      </w:r>
      <w:r>
        <w:rPr>
          <w:rFonts w:ascii="仿宋_GB2312" w:hAnsi="Times New Roman" w:eastAsia="仿宋_GB2312" w:cs="仿宋_GB2312"/>
          <w:color w:val="000000"/>
          <w:kern w:val="0"/>
          <w:sz w:val="32"/>
          <w:szCs w:val="32"/>
        </w:rPr>
        <w:t>城市群优质教育资源协同开发、共建共享机制，在高校重大科研基础设施、领军型人才、社会教育基地、教师研修培训基地、学生实习实训资源、教育数据交换平台等方面加强共享。加大推进高校和职业学校人才培养合作，在学校联盟建设、专业课程与学分互认、学分转换方面形成完善的协作发展机制。</w:t>
      </w:r>
    </w:p>
    <w:p>
      <w:pPr>
        <w:widowControl/>
        <w:spacing w:line="600" w:lineRule="exact"/>
        <w:ind w:firstLine="643" w:firstLineChars="200"/>
        <w:rPr>
          <w:rFonts w:ascii="仿宋_GB2312" w:hAnsi="Times New Roman" w:eastAsia="仿宋_GB2312" w:cs="仿宋_GB2312"/>
          <w:color w:val="000000"/>
          <w:kern w:val="0"/>
          <w:sz w:val="32"/>
          <w:szCs w:val="32"/>
        </w:rPr>
      </w:pPr>
      <w:r>
        <w:rPr>
          <w:rFonts w:ascii="仿宋_GB2312" w:hAnsi="Times New Roman" w:eastAsia="仿宋_GB2312" w:cs="仿宋_GB2312"/>
          <w:b/>
          <w:color w:val="000000"/>
          <w:kern w:val="0"/>
          <w:sz w:val="32"/>
          <w:szCs w:val="32"/>
        </w:rPr>
        <w:t>共同打造各级各类教育协作平台。</w:t>
      </w:r>
      <w:r>
        <w:rPr>
          <w:rFonts w:ascii="仿宋_GB2312" w:hAnsi="Times New Roman" w:eastAsia="仿宋_GB2312" w:cs="仿宋_GB2312"/>
          <w:color w:val="000000"/>
          <w:kern w:val="0"/>
          <w:sz w:val="32"/>
          <w:szCs w:val="32"/>
        </w:rPr>
        <w:t>协同建立与</w:t>
      </w:r>
      <w:r>
        <w:rPr>
          <w:rFonts w:hint="eastAsia" w:ascii="仿宋_GB2312" w:hAnsi="Times New Roman" w:eastAsia="仿宋_GB2312" w:cs="仿宋_GB2312"/>
          <w:color w:val="000000"/>
          <w:kern w:val="0"/>
          <w:sz w:val="32"/>
          <w:szCs w:val="32"/>
        </w:rPr>
        <w:t>中原</w:t>
      </w:r>
      <w:r>
        <w:rPr>
          <w:rFonts w:ascii="仿宋_GB2312" w:hAnsi="Times New Roman" w:eastAsia="仿宋_GB2312" w:cs="仿宋_GB2312"/>
          <w:color w:val="000000"/>
          <w:kern w:val="0"/>
          <w:sz w:val="32"/>
          <w:szCs w:val="32"/>
        </w:rPr>
        <w:t>城市群区域经济产业布局调整联动的教育新机制，深化办学体制和育人机制改革。鼓励</w:t>
      </w:r>
      <w:r>
        <w:rPr>
          <w:rFonts w:hint="eastAsia" w:ascii="仿宋_GB2312" w:hAnsi="Times New Roman" w:eastAsia="仿宋_GB2312" w:cs="仿宋_GB2312"/>
          <w:color w:val="000000"/>
          <w:kern w:val="0"/>
          <w:sz w:val="32"/>
          <w:szCs w:val="32"/>
        </w:rPr>
        <w:t>郑州</w:t>
      </w:r>
      <w:r>
        <w:rPr>
          <w:rFonts w:ascii="仿宋_GB2312" w:hAnsi="Times New Roman" w:eastAsia="仿宋_GB2312" w:cs="仿宋_GB2312"/>
          <w:color w:val="000000"/>
          <w:kern w:val="0"/>
          <w:sz w:val="32"/>
          <w:szCs w:val="32"/>
        </w:rPr>
        <w:t>各级各类教育与</w:t>
      </w:r>
      <w:r>
        <w:rPr>
          <w:rFonts w:hint="eastAsia" w:ascii="仿宋_GB2312" w:hAnsi="Times New Roman" w:eastAsia="仿宋_GB2312" w:cs="仿宋_GB2312"/>
          <w:color w:val="000000"/>
          <w:kern w:val="0"/>
          <w:sz w:val="32"/>
          <w:szCs w:val="32"/>
        </w:rPr>
        <w:t>中原</w:t>
      </w:r>
      <w:r>
        <w:rPr>
          <w:rFonts w:ascii="仿宋_GB2312" w:hAnsi="Times New Roman" w:eastAsia="仿宋_GB2312" w:cs="仿宋_GB2312"/>
          <w:color w:val="000000"/>
          <w:kern w:val="0"/>
          <w:sz w:val="32"/>
          <w:szCs w:val="32"/>
        </w:rPr>
        <w:t>城市群联合建立教育集团、联盟、产学研一体化基地和科技创新高地。设立</w:t>
      </w:r>
      <w:r>
        <w:rPr>
          <w:rFonts w:hint="eastAsia" w:ascii="仿宋_GB2312" w:hAnsi="Times New Roman" w:eastAsia="仿宋_GB2312" w:cs="仿宋_GB2312"/>
          <w:color w:val="000000"/>
          <w:kern w:val="0"/>
          <w:sz w:val="32"/>
          <w:szCs w:val="32"/>
        </w:rPr>
        <w:t>中原</w:t>
      </w:r>
      <w:r>
        <w:rPr>
          <w:rFonts w:ascii="仿宋_GB2312" w:hAnsi="Times New Roman" w:eastAsia="仿宋_GB2312" w:cs="仿宋_GB2312"/>
          <w:color w:val="000000"/>
          <w:kern w:val="0"/>
          <w:sz w:val="32"/>
          <w:szCs w:val="32"/>
        </w:rPr>
        <w:t>城市群共同投入的教育发展基金，支持协作攻关和创新发展。共建</w:t>
      </w:r>
      <w:r>
        <w:rPr>
          <w:rFonts w:hint="eastAsia" w:ascii="仿宋_GB2312" w:hAnsi="Times New Roman" w:eastAsia="仿宋_GB2312" w:cs="仿宋_GB2312"/>
          <w:color w:val="000000"/>
          <w:kern w:val="0"/>
          <w:sz w:val="32"/>
          <w:szCs w:val="32"/>
        </w:rPr>
        <w:t>中原</w:t>
      </w:r>
      <w:r>
        <w:rPr>
          <w:rFonts w:ascii="仿宋_GB2312" w:hAnsi="Times New Roman" w:eastAsia="仿宋_GB2312" w:cs="仿宋_GB2312"/>
          <w:color w:val="000000"/>
          <w:kern w:val="0"/>
          <w:sz w:val="32"/>
          <w:szCs w:val="32"/>
        </w:rPr>
        <w:t>城市群区域教育协同对外开放新机制，统筹培育形成若干在国内外具有重要影响力的交流品牌、知名论坛和重大赛事。</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53" w:name="_Toc459732876"/>
      <w:bookmarkStart w:id="54" w:name="_Toc1027636"/>
      <w:bookmarkStart w:id="55" w:name="_Toc458939860"/>
      <w:bookmarkStart w:id="56" w:name="_Toc20839"/>
      <w:r>
        <w:rPr>
          <w:rFonts w:hint="eastAsia" w:ascii="楷体_GB2312" w:hAnsi="Calibri Light" w:eastAsia="楷体_GB2312" w:cs="Times New Roman"/>
          <w:b/>
          <w:bCs/>
          <w:kern w:val="0"/>
          <w:sz w:val="32"/>
          <w:szCs w:val="32"/>
        </w:rPr>
        <w:t>（八）</w:t>
      </w:r>
      <w:bookmarkEnd w:id="53"/>
      <w:bookmarkEnd w:id="54"/>
      <w:bookmarkEnd w:id="55"/>
      <w:r>
        <w:rPr>
          <w:rFonts w:hint="eastAsia" w:ascii="楷体_GB2312" w:hAnsi="Calibri Light" w:eastAsia="楷体_GB2312" w:cs="Times New Roman"/>
          <w:b/>
          <w:bCs/>
          <w:kern w:val="0"/>
          <w:sz w:val="32"/>
          <w:szCs w:val="32"/>
        </w:rPr>
        <w:t>完善多方参与体制机制，形成教育治理现代化新格局</w:t>
      </w:r>
      <w:bookmarkEnd w:id="56"/>
    </w:p>
    <w:p>
      <w:pPr>
        <w:widowControl/>
        <w:spacing w:line="6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坚持依法治教，</w:t>
      </w:r>
      <w:r>
        <w:rPr>
          <w:rFonts w:ascii="仿宋_GB2312" w:eastAsia="仿宋_GB2312" w:cs="Times New Roman"/>
          <w:sz w:val="32"/>
          <w:szCs w:val="32"/>
        </w:rPr>
        <w:t>着力提升政府</w:t>
      </w:r>
      <w:r>
        <w:rPr>
          <w:rFonts w:hint="eastAsia" w:ascii="仿宋_GB2312" w:eastAsia="仿宋_GB2312" w:cs="Times New Roman"/>
          <w:sz w:val="32"/>
          <w:szCs w:val="32"/>
        </w:rPr>
        <w:t>管理服务</w:t>
      </w:r>
      <w:r>
        <w:rPr>
          <w:rFonts w:ascii="仿宋_GB2312" w:eastAsia="仿宋_GB2312" w:cs="Times New Roman"/>
          <w:sz w:val="32"/>
          <w:szCs w:val="32"/>
        </w:rPr>
        <w:t>水平，有效激发学校办学活力，</w:t>
      </w:r>
      <w:r>
        <w:rPr>
          <w:rFonts w:hint="eastAsia" w:ascii="仿宋_GB2312" w:eastAsia="仿宋_GB2312" w:cs="Times New Roman"/>
          <w:sz w:val="32"/>
          <w:szCs w:val="32"/>
        </w:rPr>
        <w:t>推动各级各类学校实现高效自治，保障社会各界参与教育治理，探索</w:t>
      </w:r>
      <w:r>
        <w:rPr>
          <w:rFonts w:ascii="仿宋_GB2312" w:eastAsia="仿宋_GB2312" w:cs="Times New Roman"/>
          <w:sz w:val="32"/>
          <w:szCs w:val="32"/>
        </w:rPr>
        <w:t>形成政府、学校、社会良性互动、</w:t>
      </w:r>
      <w:r>
        <w:rPr>
          <w:rFonts w:hint="eastAsia" w:ascii="仿宋_GB2312" w:eastAsia="仿宋_GB2312" w:cs="Times New Roman"/>
          <w:sz w:val="32"/>
          <w:szCs w:val="32"/>
        </w:rPr>
        <w:t>协同治理的新型关系。</w:t>
      </w:r>
    </w:p>
    <w:p>
      <w:pPr>
        <w:widowControl/>
        <w:spacing w:line="600" w:lineRule="exact"/>
        <w:ind w:firstLine="643" w:firstLineChars="200"/>
        <w:jc w:val="left"/>
        <w:rPr>
          <w:rFonts w:ascii="仿宋_GB2312" w:eastAsia="仿宋_GB2312" w:cs="Times New Roman"/>
          <w:b/>
          <w:sz w:val="32"/>
          <w:szCs w:val="32"/>
        </w:rPr>
      </w:pPr>
      <w:r>
        <w:rPr>
          <w:rFonts w:hint="eastAsia" w:ascii="仿宋_GB2312" w:eastAsia="仿宋_GB2312" w:cs="Times New Roman"/>
          <w:b/>
          <w:sz w:val="32"/>
          <w:szCs w:val="32"/>
        </w:rPr>
        <w:t>1.加强教育法治体系建设</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全面推进依法治教。</w:t>
      </w:r>
      <w:r>
        <w:rPr>
          <w:rFonts w:hint="eastAsia" w:ascii="仿宋_GB2312" w:eastAsia="仿宋_GB2312" w:cs="Times New Roman"/>
          <w:sz w:val="32"/>
          <w:szCs w:val="32"/>
        </w:rPr>
        <w:t>提高教育立法</w:t>
      </w:r>
      <w:r>
        <w:rPr>
          <w:rFonts w:ascii="仿宋_GB2312" w:eastAsia="仿宋_GB2312" w:cs="Times New Roman"/>
          <w:sz w:val="32"/>
          <w:szCs w:val="32"/>
        </w:rPr>
        <w:t>对教育改革发展的统领性</w:t>
      </w:r>
      <w:r>
        <w:rPr>
          <w:rFonts w:hint="eastAsia" w:ascii="仿宋_GB2312" w:eastAsia="仿宋_GB2312" w:cs="Times New Roman"/>
          <w:sz w:val="32"/>
          <w:szCs w:val="32"/>
        </w:rPr>
        <w:t>，研究出台促进劳动教育、职业教育等重点领域地方性法规和规章，逐步建立健全涵盖各级各类教育的地方法规体系。优化“郑州市教育局法律咨询委员会”等领导机构运行机制，全方位指导依法治教工作，把教育执法作为政府管理教育的基本手段之一，强化教育行政规范性文件的合法性审查，建立教育重大决策合法性审查和责任追究制度。</w:t>
      </w:r>
      <w:r>
        <w:rPr>
          <w:rFonts w:ascii="仿宋_GB2312" w:eastAsia="仿宋_GB2312" w:cs="Times New Roman"/>
          <w:sz w:val="32"/>
          <w:szCs w:val="32"/>
        </w:rPr>
        <w:t>深化教育行政执法体制改革，加强教育综合治理和联合执法组织机构建设，</w:t>
      </w:r>
      <w:r>
        <w:rPr>
          <w:rFonts w:hint="eastAsia" w:ascii="仿宋_GB2312" w:eastAsia="仿宋_GB2312" w:cs="Times New Roman"/>
          <w:sz w:val="32"/>
          <w:szCs w:val="32"/>
        </w:rPr>
        <w:t>提升依法执法的能力</w:t>
      </w:r>
      <w:r>
        <w:rPr>
          <w:rFonts w:ascii="仿宋_GB2312" w:eastAsia="仿宋_GB2312" w:cs="Times New Roman"/>
          <w:sz w:val="32"/>
          <w:szCs w:val="32"/>
        </w:rPr>
        <w:t>。</w:t>
      </w:r>
      <w:r>
        <w:rPr>
          <w:rFonts w:hint="eastAsia" w:ascii="仿宋_GB2312" w:eastAsia="仿宋_GB2312" w:cs="Times New Roman"/>
          <w:sz w:val="32"/>
          <w:szCs w:val="32"/>
        </w:rPr>
        <w:t>建立健全教育纠纷解决机制，完善“送法进校”和“迎法进校”，实行法制副校长和法律顾问聘请制度，</w:t>
      </w:r>
      <w:r>
        <w:rPr>
          <w:rFonts w:ascii="仿宋_GB2312" w:eastAsia="仿宋_GB2312" w:cs="Times New Roman"/>
          <w:sz w:val="32"/>
          <w:szCs w:val="32"/>
        </w:rPr>
        <w:t>构建预防和惩治“校园欺凌”的有效机制，全面提升未成年人保护水平</w:t>
      </w:r>
      <w:r>
        <w:rPr>
          <w:rFonts w:hint="eastAsia" w:ascii="仿宋_GB2312" w:eastAsia="仿宋_GB2312" w:cs="Times New Roman"/>
          <w:sz w:val="32"/>
          <w:szCs w:val="32"/>
        </w:rPr>
        <w:t>，依法保障师生的正当权益。开展各类法治教育活动，</w:t>
      </w:r>
      <w:r>
        <w:rPr>
          <w:rFonts w:ascii="仿宋_GB2312" w:eastAsia="仿宋_GB2312" w:cs="Times New Roman"/>
          <w:sz w:val="32"/>
          <w:szCs w:val="32"/>
        </w:rPr>
        <w:t>加大教育普法力度，促进尊法学法守法用法</w:t>
      </w:r>
      <w:r>
        <w:rPr>
          <w:rFonts w:hint="eastAsia" w:ascii="仿宋_GB2312" w:eastAsia="仿宋_GB2312" w:cs="Times New Roman"/>
          <w:sz w:val="32"/>
          <w:szCs w:val="32"/>
        </w:rPr>
        <w:t>，形成良好的法治生态。</w:t>
      </w:r>
    </w:p>
    <w:p>
      <w:pPr>
        <w:widowControl/>
        <w:spacing w:line="600" w:lineRule="exact"/>
        <w:ind w:firstLine="643" w:firstLineChars="200"/>
        <w:jc w:val="left"/>
        <w:rPr>
          <w:rFonts w:ascii="仿宋_GB2312" w:eastAsia="仿宋_GB2312" w:cs="Times New Roman"/>
          <w:b/>
          <w:bCs/>
          <w:sz w:val="32"/>
          <w:szCs w:val="32"/>
        </w:rPr>
      </w:pPr>
      <w:r>
        <w:rPr>
          <w:rFonts w:ascii="仿宋_GB2312" w:eastAsia="仿宋_GB2312" w:cs="Times New Roman"/>
          <w:b/>
          <w:bCs/>
          <w:sz w:val="32"/>
          <w:szCs w:val="32"/>
        </w:rPr>
        <w:t>2.提升政府教育管理</w:t>
      </w:r>
      <w:r>
        <w:rPr>
          <w:rFonts w:hint="eastAsia" w:ascii="仿宋_GB2312" w:eastAsia="仿宋_GB2312" w:cs="Times New Roman"/>
          <w:b/>
          <w:bCs/>
          <w:sz w:val="32"/>
          <w:szCs w:val="32"/>
        </w:rPr>
        <w:t>服务能力</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全面深化“放管服”改革。</w:t>
      </w:r>
      <w:r>
        <w:rPr>
          <w:rFonts w:hint="eastAsia" w:ascii="仿宋_GB2312" w:eastAsia="仿宋_GB2312" w:cs="Times New Roman"/>
          <w:sz w:val="32"/>
          <w:szCs w:val="32"/>
        </w:rPr>
        <w:t>坚持实施“教育强市”战略，各级政府切实把教育摆在优先发展的战略地位，提升规划引领发展的水平。加大政府教育统筹规划力度，</w:t>
      </w:r>
      <w:r>
        <w:rPr>
          <w:rFonts w:ascii="仿宋_GB2312" w:eastAsia="仿宋_GB2312" w:cs="Times New Roman"/>
          <w:sz w:val="32"/>
          <w:szCs w:val="32"/>
        </w:rPr>
        <w:t>建立新型、有效、常态化的市区两级教育管理联动机制</w:t>
      </w:r>
      <w:r>
        <w:rPr>
          <w:rFonts w:hint="eastAsia" w:ascii="仿宋_GB2312" w:eastAsia="仿宋_GB2312" w:cs="Times New Roman"/>
          <w:sz w:val="32"/>
          <w:szCs w:val="32"/>
        </w:rPr>
        <w:t>。完善教育治理中法规、规划、投入、人事、保障、信息等各要素的协调与配合机制，</w:t>
      </w:r>
      <w:r>
        <w:rPr>
          <w:rFonts w:ascii="仿宋_GB2312" w:eastAsia="仿宋_GB2312" w:cs="Times New Roman"/>
          <w:sz w:val="32"/>
          <w:szCs w:val="32"/>
        </w:rPr>
        <w:t>加快推进教育行政审批制度改革，推行清单式管理制度，加强事前、事中、事后监管</w:t>
      </w:r>
      <w:r>
        <w:rPr>
          <w:rFonts w:hint="eastAsia" w:ascii="仿宋_GB2312" w:eastAsia="仿宋_GB2312" w:cs="Times New Roman"/>
          <w:sz w:val="32"/>
          <w:szCs w:val="32"/>
        </w:rPr>
        <w:t>，减少对学校正常教育教学活动的干扰。建设政府管理的跨部门、跨行业的综合监管平台，规范相关部门对学校的监管事项。健全教育标准体系，通过标准建设引领各级各类教育内涵发展。加大信息公开力度，建立与社情民意沟通互动机制，及时回应社会关注的热点难点问题。</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强化教育督导评价体系建设。</w:t>
      </w:r>
      <w:r>
        <w:rPr>
          <w:rFonts w:hint="eastAsia" w:ascii="仿宋_GB2312" w:eastAsia="仿宋_GB2312" w:cs="Times New Roman"/>
          <w:sz w:val="32"/>
          <w:szCs w:val="32"/>
        </w:rPr>
        <w:t>全面实施监督问责机制，依法保障督导机构独立行使职能，形成完备科学合理的督导机制，加强督政督学队伍建设，提升督导专业性。</w:t>
      </w:r>
      <w:r>
        <w:rPr>
          <w:rFonts w:ascii="仿宋_GB2312" w:eastAsia="仿宋_GB2312" w:cs="Times New Roman"/>
          <w:sz w:val="32"/>
          <w:szCs w:val="32"/>
        </w:rPr>
        <w:t>科学制定政府履行教育职责、各级各类教育发展状况及区域教育质量的督导标准体系，委托第三方专业机构和社会开展教育督导工作，定期公开发布教育督导报告。</w:t>
      </w:r>
      <w:r>
        <w:rPr>
          <w:rFonts w:hint="eastAsia" w:ascii="仿宋_GB2312" w:eastAsia="仿宋_GB2312" w:cs="Times New Roman"/>
          <w:sz w:val="32"/>
          <w:szCs w:val="32"/>
        </w:rPr>
        <w:t>完善学校督导评估体系，推动学校内涵发展，加强教育质量监测。加强对教育违规行为的监督问责，积极接受社会监督，使不规范办学和教育行为得到根本扭转。</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加强学校安全风险防控体系建设。</w:t>
      </w:r>
      <w:r>
        <w:rPr>
          <w:rFonts w:hint="eastAsia" w:ascii="仿宋_GB2312" w:eastAsia="仿宋_GB2312" w:cs="Times New Roman"/>
          <w:sz w:val="32"/>
          <w:szCs w:val="32"/>
        </w:rPr>
        <w:t>坚持“生命不保、何谈教育”“安全第一，预防为主”的理念，狠抓安全教育，狠抓风险排查，狠抓责任落实，推动新时代校园安全工作再上新台阶。积极推进校园安全规范化、标准化、智能化建设，加大“三防”建设力度，着力构建内部防控与周边防控、专业防控与社会防控相结合的校园安全防范体系，把校园建成最阳光最安全的地方。</w:t>
      </w:r>
    </w:p>
    <w:p>
      <w:pPr>
        <w:widowControl/>
        <w:spacing w:line="600" w:lineRule="exact"/>
        <w:ind w:firstLine="643" w:firstLineChars="200"/>
        <w:jc w:val="left"/>
        <w:rPr>
          <w:rFonts w:ascii="仿宋_GB2312" w:eastAsia="仿宋_GB2312" w:cs="Times New Roman"/>
          <w:b/>
          <w:bCs/>
          <w:sz w:val="32"/>
          <w:szCs w:val="32"/>
        </w:rPr>
      </w:pPr>
      <w:r>
        <w:rPr>
          <w:rFonts w:ascii="仿宋_GB2312" w:eastAsia="仿宋_GB2312" w:cs="Times New Roman"/>
          <w:b/>
          <w:bCs/>
          <w:sz w:val="32"/>
          <w:szCs w:val="32"/>
        </w:rPr>
        <w:t>3.</w:t>
      </w:r>
      <w:r>
        <w:rPr>
          <w:rFonts w:hint="eastAsia" w:ascii="仿宋_GB2312" w:eastAsia="仿宋_GB2312" w:cs="Times New Roman"/>
          <w:b/>
          <w:bCs/>
          <w:sz w:val="32"/>
          <w:szCs w:val="32"/>
        </w:rPr>
        <w:t>加强</w:t>
      </w:r>
      <w:r>
        <w:rPr>
          <w:rFonts w:ascii="仿宋_GB2312" w:eastAsia="仿宋_GB2312" w:cs="Times New Roman"/>
          <w:b/>
          <w:bCs/>
          <w:sz w:val="32"/>
          <w:szCs w:val="32"/>
        </w:rPr>
        <w:t>现代学校制度建设</w:t>
      </w:r>
    </w:p>
    <w:p>
      <w:pPr>
        <w:widowControl/>
        <w:spacing w:line="600" w:lineRule="exact"/>
        <w:ind w:firstLine="643" w:firstLineChars="200"/>
        <w:jc w:val="left"/>
        <w:rPr>
          <w:rFonts w:ascii="仿宋_GB2312" w:eastAsia="仿宋_GB2312" w:cs="Times New Roman"/>
          <w:sz w:val="32"/>
          <w:szCs w:val="32"/>
        </w:rPr>
      </w:pPr>
      <w:bookmarkStart w:id="57" w:name="_Toc240297081"/>
      <w:r>
        <w:rPr>
          <w:rFonts w:hint="eastAsia" w:ascii="仿宋_GB2312" w:eastAsia="仿宋_GB2312" w:cs="Times New Roman"/>
          <w:b/>
          <w:sz w:val="32"/>
          <w:szCs w:val="32"/>
        </w:rPr>
        <w:t>提升各级各类学校依法治理水平。</w:t>
      </w:r>
      <w:r>
        <w:rPr>
          <w:rFonts w:hint="eastAsia" w:ascii="仿宋_GB2312" w:eastAsia="仿宋_GB2312" w:cs="Times New Roman"/>
          <w:sz w:val="32"/>
          <w:szCs w:val="32"/>
        </w:rPr>
        <w:t>加快建设依法办学、自主管理、民主监督、社会参与的现代学校制度。探索符合学段特点的学校管理制度，推动各级各类学校章程建设，形成学校自我管理、自我约束、自我发展的规范体系。探索学校内部人事任免、专业（课程）设置、经费使用、教育教学活动开展和教职工薪酬发放等方面合理用权新途径。不断完善教职工代表大会制度，推动民主管理发展。探索学校利益相关者参与的议事制度、监督机制和意见反馈制度，形成教师、学生、家长、社区、用人单位等共同参与学校治理的格局。</w:t>
      </w:r>
      <w:bookmarkEnd w:id="57"/>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继续开展民办学校财务审计。</w:t>
      </w:r>
      <w:r>
        <w:rPr>
          <w:rFonts w:hint="eastAsia" w:ascii="仿宋_GB2312" w:eastAsia="仿宋_GB2312" w:cs="Times New Roman"/>
          <w:sz w:val="32"/>
          <w:szCs w:val="32"/>
        </w:rPr>
        <w:t>加强民办学校办学信用管理。围绕民办教育高质量发展，持续增强支持和规范力度，出台郑州市民办教育高质量发展的指导意见，进一步完善民办学校设置标准，建立民办学校负面清单，进一步完善县</w:t>
      </w:r>
      <w:r>
        <w:rPr>
          <w:rFonts w:ascii="仿宋_GB2312" w:eastAsia="仿宋_GB2312" w:cs="Times New Roman"/>
          <w:sz w:val="32"/>
          <w:szCs w:val="32"/>
        </w:rPr>
        <w:t>(市区)联合执法机制，深化校外培训机构专项治理</w:t>
      </w:r>
      <w:r>
        <w:rPr>
          <w:rFonts w:hint="eastAsia" w:ascii="仿宋_GB2312" w:eastAsia="仿宋_GB2312" w:cs="Times New Roman"/>
          <w:sz w:val="32"/>
          <w:szCs w:val="32"/>
        </w:rPr>
        <w:t>。鼓励民办学校根据办学特点、办学实际探索现代学校制度，实施分类管理改革。</w:t>
      </w:r>
      <w:r>
        <w:rPr>
          <w:rFonts w:ascii="仿宋_GB2312" w:eastAsia="仿宋_GB2312" w:cs="Times New Roman"/>
          <w:sz w:val="32"/>
          <w:szCs w:val="32"/>
        </w:rPr>
        <w:t>引导民办学校优化董事会（理事会）人员结构，建立健全监事会制度，完善法人治理结构。完善民办学校的资产和财务管理、信息公开、退出及举办者变更等制度，健全民办学校规范关键岗位选聘和办学风险防范机制。</w:t>
      </w:r>
    </w:p>
    <w:p>
      <w:pPr>
        <w:widowControl/>
        <w:spacing w:line="600" w:lineRule="exact"/>
        <w:ind w:firstLine="643" w:firstLineChars="200"/>
        <w:jc w:val="left"/>
        <w:rPr>
          <w:rFonts w:ascii="仿宋_GB2312" w:eastAsia="仿宋_GB2312" w:cs="Times New Roman"/>
          <w:b/>
          <w:sz w:val="32"/>
          <w:szCs w:val="32"/>
        </w:rPr>
      </w:pPr>
      <w:r>
        <w:rPr>
          <w:rFonts w:hint="eastAsia" w:ascii="仿宋_GB2312" w:eastAsia="仿宋_GB2312" w:cs="Times New Roman"/>
          <w:b/>
          <w:sz w:val="32"/>
          <w:szCs w:val="32"/>
        </w:rPr>
        <w:t>4．建设服务郑州教育发展的高端智库</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加强郑州教育科学研究院智库建设。</w:t>
      </w:r>
      <w:r>
        <w:rPr>
          <w:rFonts w:ascii="仿宋_GB2312" w:eastAsia="仿宋_GB2312" w:cs="Times New Roman"/>
          <w:sz w:val="32"/>
          <w:szCs w:val="32"/>
        </w:rPr>
        <w:t>以服务区域性教育中心建设</w:t>
      </w:r>
      <w:r>
        <w:rPr>
          <w:rFonts w:hint="eastAsia" w:ascii="仿宋_GB2312" w:eastAsia="仿宋_GB2312" w:cs="Times New Roman"/>
          <w:sz w:val="32"/>
          <w:szCs w:val="32"/>
        </w:rPr>
        <w:t>、</w:t>
      </w:r>
      <w:r>
        <w:rPr>
          <w:rFonts w:ascii="仿宋_GB2312" w:eastAsia="仿宋_GB2312" w:cs="Times New Roman"/>
          <w:sz w:val="32"/>
          <w:szCs w:val="32"/>
        </w:rPr>
        <w:t>关注教育舆情与民生需求</w:t>
      </w:r>
      <w:r>
        <w:rPr>
          <w:rFonts w:hint="eastAsia" w:ascii="仿宋_GB2312" w:eastAsia="仿宋_GB2312" w:cs="Times New Roman"/>
          <w:sz w:val="32"/>
          <w:szCs w:val="32"/>
        </w:rPr>
        <w:t>、</w:t>
      </w:r>
      <w:r>
        <w:rPr>
          <w:rFonts w:ascii="仿宋_GB2312" w:eastAsia="仿宋_GB2312" w:cs="Times New Roman"/>
          <w:sz w:val="32"/>
          <w:szCs w:val="32"/>
        </w:rPr>
        <w:t>引领中原城市群教育发展为宗旨</w:t>
      </w:r>
      <w:r>
        <w:rPr>
          <w:rFonts w:hint="eastAsia" w:ascii="仿宋_GB2312" w:eastAsia="仿宋_GB2312" w:cs="Times New Roman"/>
          <w:sz w:val="32"/>
          <w:szCs w:val="32"/>
        </w:rPr>
        <w:t>，通过整合力量、协同创新、吸引智库人才、加强购买服务，提升服务教育决策和引领区域教育发展的能力，形成市-区（县）-校三级教育科学研究网络。</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推进郑州高校智库建设。</w:t>
      </w:r>
      <w:r>
        <w:rPr>
          <w:rFonts w:hint="eastAsia" w:ascii="仿宋_GB2312" w:eastAsia="仿宋_GB2312" w:cs="Times New Roman"/>
          <w:sz w:val="32"/>
          <w:szCs w:val="32"/>
        </w:rPr>
        <w:t>加强高校服务郑州教育改革和发展的能力。跨学科跨部门跨业界整合智库力量，以问题为导向，集成多类型数据，高质量建设中原城市群与郑州教育发展数据库。</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牵头召开中原城市群教育发展高端论坛。</w:t>
      </w:r>
      <w:r>
        <w:rPr>
          <w:rFonts w:hint="eastAsia" w:ascii="仿宋_GB2312" w:eastAsia="仿宋_GB2312" w:cs="Times New Roman"/>
          <w:sz w:val="32"/>
          <w:szCs w:val="32"/>
        </w:rPr>
        <w:t>搭建中原城市群教育发展平台，加大与中央、河南和郑州媒体合作，讲好郑州教育故事，宣传推广区域性教育中心建设典型经验，扩大郑州教育在全国乃至世界的影响力。</w:t>
      </w:r>
    </w:p>
    <w:p>
      <w:pPr>
        <w:widowControl/>
        <w:spacing w:line="600" w:lineRule="exact"/>
        <w:ind w:firstLine="643" w:firstLineChars="200"/>
        <w:jc w:val="left"/>
        <w:rPr>
          <w:rFonts w:ascii="仿宋_GB2312" w:eastAsia="仿宋_GB2312" w:cs="Times New Roman"/>
          <w:b/>
          <w:sz w:val="32"/>
          <w:szCs w:val="32"/>
        </w:rPr>
      </w:pPr>
      <w:r>
        <w:rPr>
          <w:rFonts w:ascii="仿宋_GB2312" w:eastAsia="仿宋_GB2312" w:cs="Times New Roman"/>
          <w:b/>
          <w:sz w:val="32"/>
          <w:szCs w:val="32"/>
        </w:rPr>
        <w:t>5</w:t>
      </w:r>
      <w:r>
        <w:rPr>
          <w:rFonts w:hint="eastAsia" w:ascii="仿宋_GB2312" w:eastAsia="仿宋_GB2312" w:cs="Times New Roman"/>
          <w:b/>
          <w:sz w:val="32"/>
          <w:szCs w:val="32"/>
        </w:rPr>
        <w:t>．建立社会教育共治有效机制</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完善社会多元参与教育管理、决策、监测与评价的机制。</w:t>
      </w:r>
      <w:r>
        <w:rPr>
          <w:rFonts w:hint="eastAsia" w:ascii="仿宋_GB2312" w:eastAsia="仿宋_GB2312" w:cs="Times New Roman"/>
          <w:sz w:val="32"/>
          <w:szCs w:val="32"/>
        </w:rPr>
        <w:t>建立重大教育决策和政府规范性文件出台前的咨询、听证、评议、公示制度，支持第三方机构开展独立评价，建立网络化的家长学习培训机制，倡导正确的认识和理念，促进全社会形成育人合力。</w:t>
      </w:r>
    </w:p>
    <w:p>
      <w:pPr>
        <w:widowControl/>
        <w:spacing w:line="600" w:lineRule="exact"/>
        <w:ind w:firstLine="643" w:firstLineChars="200"/>
        <w:jc w:val="left"/>
        <w:rPr>
          <w:rFonts w:ascii="仿宋_GB2312" w:eastAsia="仿宋_GB2312" w:cs="Times New Roman"/>
          <w:sz w:val="32"/>
          <w:szCs w:val="32"/>
        </w:rPr>
      </w:pPr>
      <w:r>
        <w:rPr>
          <w:rFonts w:hint="eastAsia" w:ascii="仿宋_GB2312" w:eastAsia="仿宋_GB2312" w:cs="Times New Roman"/>
          <w:b/>
          <w:sz w:val="32"/>
          <w:szCs w:val="32"/>
        </w:rPr>
        <w:t>探索教育决策咨询运行和支撑机制。</w:t>
      </w:r>
      <w:r>
        <w:rPr>
          <w:rFonts w:hint="eastAsia" w:ascii="仿宋_GB2312" w:eastAsia="仿宋_GB2312" w:cs="Times New Roman"/>
          <w:sz w:val="32"/>
          <w:szCs w:val="32"/>
        </w:rPr>
        <w:t>建设一批一流教育智库，通过科研引领教育改革发展。建设郑州市中原城市群教育发展研究中心和教育协作共同体，围绕中原城市群和郑州市教育改革发展的重点、难点问题，市民普遍关心的热点问题开展调查研究，基于调查数据撰写政策咨询报告，为政府提供教育决策参考。探索由国际知名、影响力重大的企业家、教育专家、科学家、诺贝尔获得者等参加的教育发展高端咨询机制，为引荐、开发和集聚国内外优质教育资源以及制定教育发展战略提供政策咨询。</w:t>
      </w:r>
    </w:p>
    <w:p>
      <w:pPr>
        <w:keepNext/>
        <w:keepLines/>
        <w:spacing w:beforeLines="100" w:afterLines="100" w:line="600" w:lineRule="exact"/>
        <w:ind w:firstLine="643" w:firstLineChars="200"/>
        <w:outlineLvl w:val="1"/>
        <w:rPr>
          <w:rFonts w:ascii="黑体" w:hAnsi="黑体" w:eastAsia="黑体" w:cs="Times New Roman"/>
          <w:b/>
          <w:bCs/>
          <w:kern w:val="0"/>
          <w:sz w:val="32"/>
          <w:szCs w:val="32"/>
        </w:rPr>
      </w:pPr>
      <w:bookmarkStart w:id="58" w:name="_Toc1027637"/>
      <w:bookmarkStart w:id="59" w:name="_Toc1413"/>
      <w:r>
        <w:rPr>
          <w:rFonts w:hint="eastAsia" w:ascii="黑体" w:hAnsi="黑体" w:eastAsia="黑体" w:cs="Times New Roman"/>
          <w:b/>
          <w:bCs/>
          <w:kern w:val="0"/>
          <w:sz w:val="32"/>
          <w:szCs w:val="32"/>
        </w:rPr>
        <w:t>五、组织实施</w:t>
      </w:r>
      <w:bookmarkEnd w:id="58"/>
      <w:bookmarkEnd w:id="59"/>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60" w:name="_Toc509751143"/>
      <w:bookmarkStart w:id="61" w:name="_Toc530649775"/>
      <w:bookmarkStart w:id="62" w:name="_Toc1027638"/>
      <w:bookmarkStart w:id="63" w:name="_Toc513387131"/>
      <w:bookmarkStart w:id="64" w:name="_Toc527100844"/>
      <w:bookmarkStart w:id="65" w:name="_Toc28364"/>
      <w:r>
        <w:rPr>
          <w:rFonts w:hint="eastAsia" w:ascii="楷体_GB2312" w:hAnsi="Calibri Light" w:eastAsia="楷体_GB2312" w:cs="Times New Roman"/>
          <w:b/>
          <w:bCs/>
          <w:kern w:val="0"/>
          <w:sz w:val="32"/>
          <w:szCs w:val="32"/>
        </w:rPr>
        <w:t>（一）</w:t>
      </w:r>
      <w:bookmarkEnd w:id="60"/>
      <w:r>
        <w:rPr>
          <w:rFonts w:hint="eastAsia" w:ascii="楷体_GB2312" w:hAnsi="Calibri Light" w:eastAsia="楷体_GB2312" w:cs="Times New Roman"/>
          <w:b/>
          <w:bCs/>
          <w:kern w:val="0"/>
          <w:sz w:val="32"/>
          <w:szCs w:val="32"/>
        </w:rPr>
        <w:t>加强党对教育工作全面领导</w:t>
      </w:r>
      <w:bookmarkEnd w:id="61"/>
      <w:bookmarkEnd w:id="62"/>
      <w:bookmarkEnd w:id="63"/>
      <w:bookmarkEnd w:id="64"/>
      <w:bookmarkEnd w:id="65"/>
    </w:p>
    <w:p>
      <w:pPr>
        <w:spacing w:line="6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加强党对教育现代化工作的全面领导。坚决贯彻落实中央和市委的战略部署，深入学习领会习近平新时代中国特色社会主义思想，全面贯彻党的教育方针，贯彻发展新理念，及时研究解决教育改革发展面临的重大问题。坚持把发展教育作为优先发展战略，统筹推进全市教育重大安排、重大投入和重大项目推进，</w:t>
      </w:r>
      <w:r>
        <w:rPr>
          <w:rFonts w:ascii="仿宋_GB2312" w:eastAsia="仿宋_GB2312" w:cs="仿宋_GB2312"/>
          <w:color w:val="000000"/>
          <w:sz w:val="32"/>
          <w:szCs w:val="32"/>
        </w:rPr>
        <w:t>为</w:t>
      </w:r>
      <w:r>
        <w:rPr>
          <w:rFonts w:hint="eastAsia" w:ascii="仿宋_GB2312" w:eastAsia="仿宋_GB2312" w:cs="仿宋_GB2312"/>
          <w:color w:val="000000"/>
          <w:sz w:val="32"/>
          <w:szCs w:val="32"/>
        </w:rPr>
        <w:t>“美好教育”提供坚强保证。</w:t>
      </w:r>
    </w:p>
    <w:p>
      <w:pPr>
        <w:spacing w:line="6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健全领导体制和决策机制。加强党对地方教育法规建设、教育综合改革等领导，完善党对教育重大改革事项的决策程序。重视加强党对学校工作的领导，落实教育系统思想政治建设责任制，牢牢掌握学校意识形态工作的领导权。加强学校领导班子和干部队伍建设，加大各级各类学校基层党组织和党员队伍建设力度，坚持党管干部原则，坚持新时代党的组织路线，坚持正确选人用人导向，突出政治标准，选优配强教育部门和学校领导班子。完善干部考核评价机制，建立激励机制和容错纠错机制。建立健全党委统一领导、党政齐抓共管、部门各负其责的教育领导体制，及时研究解决教育改革发展面临的重大问题，形成科学决策的工作推进机制。健全教育战略咨询机制，加强教育现代化发展重大前瞻性、战略性问题的研究咨询工作，提高决策科学化程度。</w:t>
      </w:r>
    </w:p>
    <w:p>
      <w:pPr>
        <w:spacing w:line="6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强化问责机制。推动各级政府及相关部门履行教育职责落实到位，明确各级政府的教育财政责任，完善转移支付制度，优化教育督导制度，将教育现代化推进情况纳入地方政府履行教育职责评价的重要内容，定期开展督查。健全教育战略咨询机制，加强教育现代化发展重大前瞻性、战略性问题的研究咨询工作，提高决策科学化程度。</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66" w:name="_Toc1027634"/>
      <w:bookmarkStart w:id="67" w:name="_Toc22088"/>
      <w:r>
        <w:rPr>
          <w:rFonts w:hint="eastAsia" w:ascii="楷体_GB2312" w:hAnsi="Calibri Light" w:eastAsia="楷体_GB2312" w:cs="Times New Roman"/>
          <w:b/>
          <w:bCs/>
          <w:kern w:val="0"/>
          <w:sz w:val="32"/>
          <w:szCs w:val="32"/>
        </w:rPr>
        <w:t>（二）建立健全教育投入</w:t>
      </w:r>
      <w:bookmarkEnd w:id="66"/>
      <w:r>
        <w:rPr>
          <w:rFonts w:hint="eastAsia" w:ascii="楷体_GB2312" w:hAnsi="Calibri Light" w:eastAsia="楷体_GB2312" w:cs="Times New Roman"/>
          <w:b/>
          <w:bCs/>
          <w:kern w:val="0"/>
          <w:sz w:val="32"/>
          <w:szCs w:val="32"/>
        </w:rPr>
        <w:t>保障机制</w:t>
      </w:r>
      <w:bookmarkEnd w:id="67"/>
    </w:p>
    <w:p>
      <w:pPr>
        <w:spacing w:line="600" w:lineRule="exact"/>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坚持把教育投入作为基础性、战略性投资，提高教育投入水平。经济社会发展规划优先安排教育发展，财政资金优先保障教育投入，公共资源配置优先满足教育人力资源开发需要。健全保障财政教育投入持续稳定增长的长效机制，确保财政一般公共预算支出逐年只增不减，确保按在校学生人数平均的一般公共预算教育支出逐年只增不减。本市教育财政支出水平达到国内同等城市全列，依法落实各级政府教育支出责任，加大财政教育投入。</w:t>
      </w:r>
    </w:p>
    <w:p>
      <w:pPr>
        <w:spacing w:line="600" w:lineRule="exact"/>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健全以政府投入为主、多渠道筹措教育经费的体制。完善生均经费基本标准，健全各级各类教育的生均财政拨款制度和生均财政拨款标准动态调整机制。合理确定非义务教育学校学费标准，并建立动态调整机制。落实相关税收优惠政策，完善土地、金融、人才等优惠政策，鼓励出资、捐资办学，支持和规范社会力量兴办教育。依法落实民办学校举办者筹措办学经费的法律责任，健全退出机制。</w:t>
      </w:r>
    </w:p>
    <w:p>
      <w:pPr>
        <w:spacing w:line="600" w:lineRule="exact"/>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全面提高经费使用效益。推动教育经费使用结构重心从规模扩张向质量提升、结构优化转移，从硬件设施建设向教育教学改革和教师队伍建设等转移，形成与教育改革发展相适应的教育经费使用结构。加强对教育经费使用的绩效评价，强化评价结果应用。推动完善学校财务会计制度、国有资产管理制度、教育收费管理制度。加强内部控制机制建设，完善教育内部审计制度。完善教育经费统计公告制度，落实财政教育经费预决算公开制度。</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68" w:name="_Toc509751144"/>
      <w:bookmarkStart w:id="69" w:name="_Toc513387133"/>
      <w:bookmarkStart w:id="70" w:name="_Toc1027639"/>
      <w:bookmarkStart w:id="71" w:name="_Toc530649776"/>
      <w:bookmarkStart w:id="72" w:name="_Toc527100845"/>
      <w:bookmarkStart w:id="73" w:name="_Toc22860"/>
      <w:r>
        <w:rPr>
          <w:rFonts w:hint="eastAsia" w:ascii="楷体_GB2312" w:hAnsi="Calibri Light" w:eastAsia="楷体_GB2312" w:cs="Times New Roman"/>
          <w:b/>
          <w:bCs/>
          <w:kern w:val="0"/>
          <w:sz w:val="32"/>
          <w:szCs w:val="32"/>
        </w:rPr>
        <w:t>（三）建立实施、监测与改进机制</w:t>
      </w:r>
      <w:bookmarkEnd w:id="68"/>
      <w:bookmarkEnd w:id="69"/>
      <w:bookmarkEnd w:id="70"/>
      <w:bookmarkEnd w:id="71"/>
      <w:bookmarkEnd w:id="72"/>
      <w:bookmarkEnd w:id="73"/>
    </w:p>
    <w:p>
      <w:pPr>
        <w:spacing w:line="600" w:lineRule="exact"/>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建立规划实施机制。对接郑州总体发展战略规划、中国教育现代化</w:t>
      </w:r>
      <w:r>
        <w:rPr>
          <w:rFonts w:ascii="仿宋_GB2312" w:eastAsia="仿宋_GB2312" w:cs="Times New Roman"/>
          <w:color w:val="000000"/>
          <w:sz w:val="32"/>
          <w:szCs w:val="32"/>
        </w:rPr>
        <w:t>2035</w:t>
      </w:r>
      <w:r>
        <w:rPr>
          <w:rFonts w:hint="eastAsia" w:ascii="仿宋_GB2312" w:eastAsia="仿宋_GB2312" w:cs="Times New Roman"/>
          <w:color w:val="000000"/>
          <w:sz w:val="32"/>
          <w:szCs w:val="32"/>
        </w:rPr>
        <w:t>、河南教育现代化2035</w:t>
      </w:r>
      <w:r>
        <w:rPr>
          <w:rFonts w:ascii="仿宋_GB2312" w:eastAsia="仿宋_GB2312" w:cs="Times New Roman"/>
          <w:color w:val="000000"/>
          <w:sz w:val="32"/>
          <w:szCs w:val="32"/>
        </w:rPr>
        <w:t>等，统筹协调郑州教育现代化各阶段发展目标和任务安排，实现与教育中长期改革和发展规划、五年规划及年度计划的衔接和有序实施。制定实施方案，按法定程序开展各层次规划及行动方案编制，科学制定配套政策，分阶段、分步骤组织实施。建立多部门协同工作机制，共同研究破解制约教育发展体制机制障碍，推动各部门、各级各类学校贯彻落实教育现代化发展的重大任务和改革措施。形成鼓励探索创新的激励机制，推进实行试点改革，鼓励各区和学校积极探索、大胆实践，创造性推</w:t>
      </w:r>
      <w:r>
        <w:rPr>
          <w:rFonts w:hint="eastAsia" w:ascii="仿宋_GB2312" w:eastAsia="仿宋_GB2312" w:cs="Times New Roman"/>
          <w:color w:val="000000"/>
          <w:sz w:val="32"/>
          <w:szCs w:val="32"/>
        </w:rPr>
        <w:t>进教育现代化发展。</w:t>
      </w:r>
    </w:p>
    <w:p>
      <w:pPr>
        <w:spacing w:line="600" w:lineRule="exact"/>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建立教育现代化发展监测机制。围绕郑州</w:t>
      </w:r>
      <w:r>
        <w:rPr>
          <w:rFonts w:ascii="仿宋_GB2312" w:eastAsia="仿宋_GB2312" w:cs="Times New Roman"/>
          <w:color w:val="000000"/>
          <w:sz w:val="32"/>
          <w:szCs w:val="32"/>
        </w:rPr>
        <w:t>2035年教育现代化发展目标、教育及人力资源发展主要指标以及重大战略任务，建立郑州教育现代化进程动态监测、定期评估和报告制度，构建教育现代化监测指标体系及进程指数</w:t>
      </w:r>
      <w:r>
        <w:rPr>
          <w:rFonts w:hint="eastAsia" w:ascii="仿宋_GB2312" w:eastAsia="仿宋_GB2312" w:cs="Times New Roman"/>
          <w:color w:val="000000"/>
          <w:sz w:val="32"/>
          <w:szCs w:val="32"/>
        </w:rPr>
        <w:t>，</w:t>
      </w:r>
      <w:r>
        <w:rPr>
          <w:rFonts w:ascii="仿宋_GB2312" w:eastAsia="仿宋_GB2312" w:cs="Times New Roman"/>
          <w:color w:val="000000"/>
          <w:sz w:val="32"/>
          <w:szCs w:val="32"/>
        </w:rPr>
        <w:t>开展规划实施情况的分析评估，定期接受各级人大、政协的监督检查。建立问责制度，将各项指标结果纳入各级政府绩效考核体系</w:t>
      </w:r>
      <w:r>
        <w:rPr>
          <w:rFonts w:hint="eastAsia" w:ascii="仿宋_GB2312" w:eastAsia="仿宋_GB2312" w:cs="Times New Roman"/>
          <w:color w:val="000000"/>
          <w:sz w:val="32"/>
          <w:szCs w:val="32"/>
        </w:rPr>
        <w:t>，</w:t>
      </w:r>
      <w:r>
        <w:rPr>
          <w:rFonts w:ascii="仿宋_GB2312" w:eastAsia="仿宋_GB2312" w:cs="Times New Roman"/>
          <w:color w:val="000000"/>
          <w:sz w:val="32"/>
          <w:szCs w:val="32"/>
        </w:rPr>
        <w:t>将</w:t>
      </w:r>
      <w:r>
        <w:rPr>
          <w:rFonts w:hint="eastAsia" w:ascii="仿宋_GB2312" w:eastAsia="仿宋_GB2312" w:cs="Times New Roman"/>
          <w:color w:val="000000"/>
          <w:sz w:val="32"/>
          <w:szCs w:val="32"/>
        </w:rPr>
        <w:t>“美好教育”推进情况列入市政府对区、县（市）政府和市相关部门综合考评</w:t>
      </w:r>
      <w:r>
        <w:rPr>
          <w:rFonts w:ascii="仿宋_GB2312" w:eastAsia="仿宋_GB2312" w:cs="Times New Roman"/>
          <w:color w:val="000000"/>
          <w:sz w:val="32"/>
          <w:szCs w:val="32"/>
        </w:rPr>
        <w:t>。推进中原城市群教育现代化监测评价研究</w:t>
      </w:r>
      <w:r>
        <w:rPr>
          <w:rFonts w:hint="eastAsia" w:ascii="仿宋_GB2312" w:eastAsia="仿宋_GB2312" w:cs="Times New Roman"/>
          <w:color w:val="000000"/>
          <w:sz w:val="32"/>
          <w:szCs w:val="32"/>
        </w:rPr>
        <w:t>，提供决策咨询专报，每年定期</w:t>
      </w:r>
      <w:r>
        <w:rPr>
          <w:rFonts w:ascii="仿宋_GB2312" w:eastAsia="仿宋_GB2312" w:cs="Times New Roman"/>
          <w:color w:val="000000"/>
          <w:sz w:val="32"/>
          <w:szCs w:val="32"/>
        </w:rPr>
        <w:t>召开中原教育现代化论坛</w:t>
      </w:r>
      <w:r>
        <w:rPr>
          <w:rFonts w:hint="eastAsia" w:ascii="仿宋_GB2312" w:eastAsia="仿宋_GB2312" w:cs="Times New Roman"/>
          <w:color w:val="000000"/>
          <w:sz w:val="32"/>
          <w:szCs w:val="32"/>
        </w:rPr>
        <w:t>，围绕教育现代化发展主题开展研讨，发布中原城市群教育现代化发展蓝皮书。</w:t>
      </w:r>
    </w:p>
    <w:p>
      <w:pPr>
        <w:keepNext/>
        <w:keepLines/>
        <w:spacing w:line="600" w:lineRule="exact"/>
        <w:ind w:firstLine="643" w:firstLineChars="200"/>
        <w:outlineLvl w:val="1"/>
        <w:rPr>
          <w:rFonts w:ascii="楷体_GB2312" w:hAnsi="Calibri Light" w:eastAsia="楷体_GB2312" w:cs="Times New Roman"/>
          <w:b/>
          <w:bCs/>
          <w:kern w:val="0"/>
          <w:sz w:val="32"/>
          <w:szCs w:val="32"/>
        </w:rPr>
      </w:pPr>
      <w:bookmarkStart w:id="74" w:name="_Toc513387134"/>
      <w:bookmarkStart w:id="75" w:name="_Toc509751145"/>
      <w:bookmarkStart w:id="76" w:name="_Toc1027640"/>
      <w:bookmarkStart w:id="77" w:name="_Toc527100846"/>
      <w:bookmarkStart w:id="78" w:name="_Toc530649777"/>
      <w:bookmarkStart w:id="79" w:name="_Toc31109"/>
      <w:r>
        <w:rPr>
          <w:rFonts w:hint="eastAsia" w:ascii="楷体_GB2312" w:hAnsi="Calibri Light" w:eastAsia="楷体_GB2312" w:cs="Times New Roman"/>
          <w:b/>
          <w:bCs/>
          <w:kern w:val="0"/>
          <w:sz w:val="32"/>
          <w:szCs w:val="32"/>
        </w:rPr>
        <w:t>（四）营造教育发展良好生态环境</w:t>
      </w:r>
      <w:bookmarkEnd w:id="74"/>
      <w:bookmarkEnd w:id="75"/>
      <w:bookmarkEnd w:id="76"/>
      <w:bookmarkEnd w:id="77"/>
      <w:bookmarkEnd w:id="78"/>
      <w:bookmarkEnd w:id="79"/>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激发公众参与意识，动员郑州社会各界关心支持教育事业。建立贯穿教育规划编制、实施、监督的公众参与机制，设立表彰先进奖项，鼓励引导公众参与教育问题的讨论和协商，对各行业关心支持教育现代化发展的先进事迹进行公开奖励。建立宣传机制，广泛宣传教育现代化发展的先进经验和典型案例。充分发挥社会组织在教育现代化发展中的积极作用。加大教育舆论引导，推动形成社会各界和广大人民群众共同关心、支持和参与高质量建设“美好教育”的良好局面。</w:t>
      </w:r>
    </w:p>
    <w:sectPr>
      <w:footerReference r:id="rId11" w:type="default"/>
      <w:footnotePr>
        <w:numFmt w:val="decimalEnclosedCircleChinese"/>
      </w:footnotePr>
      <w:pgSz w:w="11906" w:h="16838"/>
      <w:pgMar w:top="2098" w:right="1531" w:bottom="1984" w:left="1531"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等线">
    <w:altName w:val="宋体"/>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0000000000000000000"/>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ÂËÎ Western">
    <w:altName w:val="Segoe Print"/>
    <w:panose1 w:val="00000000000000000000"/>
    <w:charset w:val="00"/>
    <w:family w:val="auto"/>
    <w:pitch w:val="default"/>
    <w:sig w:usb0="00000000" w:usb1="00000000" w:usb2="00000000" w:usb3="00000000" w:csb0="00000001"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ascii="Calibri" w:hAnsi="Calibri" w:eastAsia="宋体" w:cs="黑体"/>
        <w:kern w:val="2"/>
        <w:sz w:val="18"/>
        <w:szCs w:val="18"/>
        <w:lang w:val="en-US" w:eastAsia="zh-CN" w:bidi="ar-SA"/>
      </w:rPr>
      <w:pict>
        <v:rect id="文本框1" o:spid="_x0000_s1025" style="position:absolute;left:0;margin-top:0pt;height:18.15pt;width:42.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jc w:val="center"/>
                </w:pPr>
                <w:r>
                  <w:rPr>
                    <w:rFonts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1</w:t>
                </w:r>
                <w:r>
                  <w:rPr>
                    <w:rFonts w:ascii="宋体" w:hAnsi="宋体"/>
                    <w:sz w:val="28"/>
                    <w:szCs w:val="28"/>
                    <w:lang w:val="zh-CN"/>
                  </w:rPr>
                  <w:fldChar w:fldCharType="end"/>
                </w:r>
                <w:r>
                  <w:rPr>
                    <w:rFonts w:hint="eastAsia"/>
                    <w:sz w:val="28"/>
                    <w:szCs w:val="28"/>
                  </w:rPr>
                  <w:t>—</w:t>
                </w:r>
              </w:p>
            </w:txbxContent>
          </v:textbox>
        </v:rect>
      </w:pic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1"/>
        <w:spacing w:line="240" w:lineRule="auto"/>
        <w:rPr>
          <w:rFonts w:ascii="楷体" w:hAnsi="楷体" w:eastAsia="楷体"/>
          <w:sz w:val="21"/>
          <w:szCs w:val="21"/>
        </w:rPr>
      </w:pPr>
      <w:r>
        <w:rPr>
          <w:rStyle w:val="17"/>
        </w:rPr>
        <w:footnoteRef/>
      </w:r>
      <w:r>
        <w:rPr>
          <w:rFonts w:ascii="楷体" w:hAnsi="楷体" w:eastAsia="楷体"/>
          <w:sz w:val="21"/>
          <w:szCs w:val="21"/>
        </w:rPr>
        <w:t>面向</w:t>
      </w:r>
      <w:r>
        <w:rPr>
          <w:rFonts w:hint="eastAsia" w:ascii="楷体" w:hAnsi="楷体" w:eastAsia="楷体"/>
          <w:sz w:val="21"/>
          <w:szCs w:val="21"/>
        </w:rPr>
        <w:t>2</w:t>
      </w:r>
      <w:r>
        <w:rPr>
          <w:rFonts w:ascii="楷体" w:hAnsi="楷体" w:eastAsia="楷体"/>
          <w:sz w:val="21"/>
          <w:szCs w:val="21"/>
        </w:rPr>
        <w:t>035的郑州教育现代化</w:t>
      </w:r>
      <w:r>
        <w:rPr>
          <w:rFonts w:hint="eastAsia" w:ascii="楷体" w:hAnsi="楷体" w:eastAsia="楷体"/>
          <w:sz w:val="21"/>
          <w:szCs w:val="21"/>
        </w:rPr>
        <w:t>发展，核心是人、人才、人力资本，在宏观战略上与郑州建设国家中心城市建设同步，在中观层面上紧扣区域性教育中心建设，在微观上呈现学校、课程、条件手段、治理、影响力等构成的立体图景。</w:t>
      </w:r>
    </w:p>
  </w:footnote>
  <w:footnote w:id="1">
    <w:p>
      <w:pPr>
        <w:pStyle w:val="11"/>
        <w:spacing w:line="240" w:lineRule="auto"/>
        <w:rPr>
          <w:rFonts w:ascii="楷体" w:hAnsi="楷体" w:eastAsia="楷体"/>
          <w:sz w:val="21"/>
          <w:szCs w:val="21"/>
        </w:rPr>
      </w:pPr>
      <w:r>
        <w:rPr>
          <w:rStyle w:val="17"/>
        </w:rPr>
        <w:footnoteRef/>
      </w:r>
      <w:r>
        <w:rPr>
          <w:rFonts w:hint="eastAsia" w:ascii="楷体" w:hAnsi="楷体" w:eastAsia="楷体"/>
          <w:sz w:val="21"/>
          <w:szCs w:val="21"/>
        </w:rPr>
        <w:t>学前教育三年毛入园率达到9</w:t>
      </w:r>
      <w:r>
        <w:rPr>
          <w:rFonts w:ascii="楷体" w:hAnsi="楷体" w:eastAsia="楷体"/>
          <w:sz w:val="21"/>
          <w:szCs w:val="21"/>
        </w:rPr>
        <w:t>3</w:t>
      </w:r>
      <w:r>
        <w:rPr>
          <w:rFonts w:hint="eastAsia" w:ascii="楷体" w:hAnsi="楷体" w:eastAsia="楷体"/>
          <w:sz w:val="21"/>
          <w:szCs w:val="21"/>
        </w:rPr>
        <w:t>%，全市普惠性幼儿园覆盖率达到73%，在公办幼儿园和普惠性民办幼儿园就读的幼儿比例达到90%，建立健全了学前教育资助工作体系。全市15个县（市、区）义务教育全部达到国家基本均衡发展标准，义务教育资源均衡配置机制基本形成，义务教育阶段起始年级全面消除了超大班额，全面完成国家“全面改薄”五年规划任务，启动了新优质初中培育工程，优质中小学教育资源比例得到提高，进城务工人员随迁子女义务教育纳入公共教育体系。高中阶段教育毛入学率不断提高，增值评价项目得到有效推广，特色化多样化发展从理念走向实践。基本完成中职学校布局调整工作，继续推进中职学校特色化、品牌化建设，持续深化校企合作、产教融合，开展了现代学徒制试点。成人教育全面展开，开通了课程丰富的“郑州学习在线”网站，构建了社区教育四级网络，成为中国首批16个学习型城市建设联盟成员。高等教育保持良性发展，积极引进优质高等教育资源，中外合作办学规模不断扩大。民办学校保持平稳健康发展，初步形成了种类齐全、结构合理的民办教育体系，成为公共教育事业的重要组成部分。政府主导、部门联动、社会支持的特教工作模式得到有效推行；坚持以爱国主义为主旋律,以“西藏班”和“新疆班”为代表的民族团结教育得到持续发展。</w:t>
      </w:r>
    </w:p>
  </w:footnote>
  <w:footnote w:id="2">
    <w:p>
      <w:pPr>
        <w:pStyle w:val="11"/>
        <w:spacing w:line="240" w:lineRule="auto"/>
        <w:rPr>
          <w:rFonts w:ascii="楷体" w:hAnsi="楷体" w:eastAsia="楷体"/>
          <w:sz w:val="21"/>
          <w:szCs w:val="21"/>
        </w:rPr>
      </w:pPr>
      <w:r>
        <w:rPr>
          <w:rStyle w:val="17"/>
        </w:rPr>
        <w:footnoteRef/>
      </w:r>
      <w:r>
        <w:rPr>
          <w:rFonts w:hint="eastAsia" w:ascii="楷体" w:hAnsi="楷体" w:eastAsia="楷体"/>
          <w:sz w:val="21"/>
          <w:szCs w:val="21"/>
        </w:rPr>
        <w:t>《中国教育现代化</w:t>
      </w:r>
      <w:r>
        <w:rPr>
          <w:rFonts w:ascii="楷体" w:hAnsi="楷体" w:eastAsia="楷体"/>
          <w:sz w:val="21"/>
          <w:szCs w:val="21"/>
        </w:rPr>
        <w:t>2035</w:t>
      </w:r>
      <w:r>
        <w:rPr>
          <w:rFonts w:hint="eastAsia" w:ascii="楷体" w:hAnsi="楷体" w:eastAsia="楷体"/>
          <w:sz w:val="21"/>
          <w:szCs w:val="21"/>
        </w:rPr>
        <w:t>》。</w:t>
      </w:r>
    </w:p>
  </w:footnote>
  <w:footnote w:id="3">
    <w:p>
      <w:pPr>
        <w:pStyle w:val="11"/>
        <w:spacing w:line="240" w:lineRule="auto"/>
      </w:pPr>
      <w:r>
        <w:rPr>
          <w:rStyle w:val="17"/>
        </w:rPr>
        <w:footnoteRef/>
      </w:r>
      <w:r>
        <w:rPr>
          <w:rFonts w:hint="eastAsia" w:ascii="楷体" w:hAnsi="楷体" w:eastAsia="楷体"/>
          <w:sz w:val="21"/>
          <w:szCs w:val="21"/>
        </w:rPr>
        <w:t>《郑州建设国家中心城市行动纲要（2</w:t>
      </w:r>
      <w:r>
        <w:rPr>
          <w:rFonts w:ascii="楷体" w:hAnsi="楷体" w:eastAsia="楷体"/>
          <w:sz w:val="21"/>
          <w:szCs w:val="21"/>
        </w:rPr>
        <w:t>017</w:t>
      </w:r>
      <w:r>
        <w:rPr>
          <w:rFonts w:hint="eastAsia" w:ascii="楷体" w:hAnsi="楷体" w:eastAsia="楷体"/>
          <w:sz w:val="21"/>
          <w:szCs w:val="21"/>
        </w:rPr>
        <w:t>-</w:t>
      </w:r>
      <w:r>
        <w:rPr>
          <w:rFonts w:ascii="楷体" w:hAnsi="楷体" w:eastAsia="楷体"/>
          <w:sz w:val="21"/>
          <w:szCs w:val="21"/>
        </w:rPr>
        <w:t>2035年</w:t>
      </w:r>
      <w:r>
        <w:rPr>
          <w:rFonts w:hint="eastAsia" w:ascii="楷体" w:hAnsi="楷体" w:eastAsia="楷体"/>
          <w:sz w:val="21"/>
          <w:szCs w:val="21"/>
        </w:rPr>
        <w:t>）》。</w:t>
      </w:r>
    </w:p>
  </w:footnote>
  <w:footnote w:id="4">
    <w:p>
      <w:pPr>
        <w:pStyle w:val="11"/>
        <w:spacing w:line="240" w:lineRule="auto"/>
        <w:rPr>
          <w:rFonts w:ascii="楷体" w:hAnsi="楷体" w:eastAsia="楷体"/>
          <w:sz w:val="21"/>
          <w:szCs w:val="21"/>
        </w:rPr>
      </w:pPr>
      <w:r>
        <w:rPr>
          <w:rStyle w:val="17"/>
        </w:rPr>
        <w:footnoteRef/>
      </w:r>
      <w:r>
        <w:rPr>
          <w:rFonts w:hint="eastAsia" w:ascii="楷体" w:hAnsi="楷体" w:eastAsia="楷体"/>
          <w:sz w:val="21"/>
          <w:szCs w:val="21"/>
        </w:rPr>
        <w:t>《促进中部地区崛起“十三五”规划》(发改地区〔2016〕2664号)、《中原城市群发展规划》(发改地区〔2016〕2817号)和《国家发展改革委关于支持郑州建设国家中心城市的指导意见》（</w:t>
      </w:r>
      <w:r>
        <w:rPr>
          <w:rFonts w:ascii="楷体" w:hAnsi="楷体" w:eastAsia="楷体"/>
          <w:sz w:val="21"/>
          <w:szCs w:val="21"/>
        </w:rPr>
        <w:t>发改规划</w:t>
      </w:r>
      <w:r>
        <w:rPr>
          <w:rFonts w:hint="eastAsia" w:ascii="楷体" w:hAnsi="楷体" w:eastAsia="楷体"/>
          <w:sz w:val="21"/>
          <w:szCs w:val="21"/>
        </w:rPr>
        <w:t>〔2017〕</w:t>
      </w:r>
      <w:r>
        <w:rPr>
          <w:rFonts w:ascii="楷体" w:hAnsi="楷体" w:eastAsia="楷体"/>
          <w:sz w:val="21"/>
          <w:szCs w:val="21"/>
        </w:rPr>
        <w:t>154号</w:t>
      </w:r>
      <w:r>
        <w:rPr>
          <w:rFonts w:hint="eastAsia" w:ascii="楷体" w:hAnsi="楷体" w:eastAsia="楷体"/>
          <w:sz w:val="21"/>
          <w:szCs w:val="21"/>
        </w:rPr>
        <w:t>）。</w:t>
      </w:r>
    </w:p>
  </w:footnote>
  <w:footnote w:id="5">
    <w:p>
      <w:pPr>
        <w:pStyle w:val="11"/>
        <w:spacing w:line="240" w:lineRule="auto"/>
      </w:pPr>
      <w:r>
        <w:rPr>
          <w:rStyle w:val="17"/>
        </w:rPr>
        <w:footnoteRef/>
      </w:r>
      <w:r>
        <w:rPr>
          <w:rFonts w:hint="eastAsia" w:ascii="楷体" w:hAnsi="楷体" w:eastAsia="楷体"/>
          <w:sz w:val="21"/>
          <w:szCs w:val="21"/>
        </w:rPr>
        <w:t>世界银行《关于国际教育趋势及经验的政策建议》。</w:t>
      </w:r>
    </w:p>
  </w:footnote>
  <w:footnote w:id="6">
    <w:p>
      <w:pPr>
        <w:pStyle w:val="11"/>
        <w:rPr>
          <w:rFonts w:ascii="楷体" w:hAnsi="楷体" w:eastAsia="楷体"/>
          <w:sz w:val="21"/>
          <w:szCs w:val="21"/>
        </w:rPr>
      </w:pPr>
      <w:r>
        <w:rPr>
          <w:rStyle w:val="17"/>
        </w:rPr>
        <w:footnoteRef/>
      </w:r>
      <w:r>
        <w:rPr>
          <w:rFonts w:hint="eastAsia" w:ascii="楷体" w:hAnsi="楷体" w:eastAsia="楷体"/>
          <w:sz w:val="21"/>
          <w:szCs w:val="21"/>
        </w:rPr>
        <w:t>《郑州建设国家中心城市行动纲要（2017-2035年）》：全市常住人口2</w:t>
      </w:r>
      <w:r>
        <w:rPr>
          <w:rFonts w:ascii="楷体" w:hAnsi="楷体" w:eastAsia="楷体"/>
          <w:sz w:val="21"/>
          <w:szCs w:val="21"/>
        </w:rPr>
        <w:t>020年</w:t>
      </w:r>
      <w:r>
        <w:rPr>
          <w:rFonts w:hint="eastAsia" w:ascii="楷体" w:hAnsi="楷体" w:eastAsia="楷体"/>
          <w:sz w:val="21"/>
          <w:szCs w:val="21"/>
        </w:rPr>
        <w:t>1</w:t>
      </w:r>
      <w:r>
        <w:rPr>
          <w:rFonts w:ascii="楷体" w:hAnsi="楷体" w:eastAsia="楷体"/>
          <w:sz w:val="21"/>
          <w:szCs w:val="21"/>
        </w:rPr>
        <w:t>100万</w:t>
      </w:r>
      <w:r>
        <w:rPr>
          <w:rFonts w:hint="eastAsia" w:ascii="楷体" w:hAnsi="楷体" w:eastAsia="楷体"/>
          <w:sz w:val="21"/>
          <w:szCs w:val="21"/>
        </w:rPr>
        <w:t>，2</w:t>
      </w:r>
      <w:r>
        <w:rPr>
          <w:rFonts w:ascii="楷体" w:hAnsi="楷体" w:eastAsia="楷体"/>
          <w:sz w:val="21"/>
          <w:szCs w:val="21"/>
        </w:rPr>
        <w:t>035年达到</w:t>
      </w:r>
      <w:r>
        <w:rPr>
          <w:rFonts w:hint="eastAsia" w:ascii="楷体" w:hAnsi="楷体" w:eastAsia="楷体"/>
          <w:sz w:val="21"/>
          <w:szCs w:val="21"/>
        </w:rPr>
        <w:t>1</w:t>
      </w:r>
      <w:r>
        <w:rPr>
          <w:rFonts w:ascii="楷体" w:hAnsi="楷体" w:eastAsia="楷体"/>
          <w:sz w:val="21"/>
          <w:szCs w:val="21"/>
        </w:rPr>
        <w:t>350万</w:t>
      </w:r>
      <w:r>
        <w:rPr>
          <w:rFonts w:hint="eastAsia" w:ascii="楷体" w:hAnsi="楷体" w:eastAsia="楷体"/>
          <w:sz w:val="21"/>
          <w:szCs w:val="21"/>
        </w:rPr>
        <w:t>；</w:t>
      </w:r>
      <w:r>
        <w:rPr>
          <w:rFonts w:ascii="楷体" w:hAnsi="楷体" w:eastAsia="楷体"/>
          <w:sz w:val="21"/>
          <w:szCs w:val="21"/>
        </w:rPr>
        <w:t>城市化率</w:t>
      </w:r>
      <w:r>
        <w:rPr>
          <w:rFonts w:hint="eastAsia" w:ascii="楷体" w:hAnsi="楷体" w:eastAsia="楷体"/>
          <w:sz w:val="21"/>
          <w:szCs w:val="21"/>
        </w:rPr>
        <w:t>2</w:t>
      </w:r>
      <w:r>
        <w:rPr>
          <w:rFonts w:ascii="楷体" w:hAnsi="楷体" w:eastAsia="楷体"/>
          <w:sz w:val="21"/>
          <w:szCs w:val="21"/>
        </w:rPr>
        <w:t>020年达到</w:t>
      </w:r>
      <w:r>
        <w:rPr>
          <w:rFonts w:hint="eastAsia" w:ascii="楷体" w:hAnsi="楷体" w:eastAsia="楷体"/>
          <w:sz w:val="21"/>
          <w:szCs w:val="21"/>
        </w:rPr>
        <w:t>7</w:t>
      </w:r>
      <w:r>
        <w:rPr>
          <w:rFonts w:ascii="楷体" w:hAnsi="楷体" w:eastAsia="楷体"/>
          <w:sz w:val="21"/>
          <w:szCs w:val="21"/>
        </w:rPr>
        <w:t>3</w:t>
      </w:r>
      <w:r>
        <w:rPr>
          <w:rFonts w:hint="eastAsia" w:ascii="楷体" w:hAnsi="楷体" w:eastAsia="楷体"/>
          <w:sz w:val="21"/>
          <w:szCs w:val="21"/>
        </w:rPr>
        <w:t>%，2</w:t>
      </w:r>
      <w:r>
        <w:rPr>
          <w:rFonts w:ascii="楷体" w:hAnsi="楷体" w:eastAsia="楷体"/>
          <w:sz w:val="21"/>
          <w:szCs w:val="21"/>
        </w:rPr>
        <w:t>035年</w:t>
      </w:r>
      <w:r>
        <w:rPr>
          <w:rFonts w:hint="eastAsia" w:ascii="楷体" w:hAnsi="楷体" w:eastAsia="楷体"/>
          <w:sz w:val="21"/>
          <w:szCs w:val="21"/>
        </w:rPr>
        <w:t>达到</w:t>
      </w:r>
      <w:r>
        <w:rPr>
          <w:rFonts w:ascii="楷体" w:hAnsi="楷体" w:eastAsia="楷体"/>
          <w:sz w:val="21"/>
          <w:szCs w:val="21"/>
        </w:rPr>
        <w:t>85</w:t>
      </w:r>
      <w:r>
        <w:rPr>
          <w:rFonts w:hint="eastAsia" w:ascii="楷体" w:hAnsi="楷体" w:eastAsia="楷体"/>
          <w:sz w:val="21"/>
          <w:szCs w:val="21"/>
        </w:rPr>
        <w:t>%。2</w:t>
      </w:r>
      <w:r>
        <w:rPr>
          <w:rFonts w:ascii="楷体" w:hAnsi="楷体" w:eastAsia="楷体"/>
          <w:sz w:val="21"/>
          <w:szCs w:val="21"/>
        </w:rPr>
        <w:t>018年全国城镇化率为</w:t>
      </w:r>
      <w:r>
        <w:rPr>
          <w:rFonts w:hint="eastAsia" w:ascii="楷体" w:hAnsi="楷体" w:eastAsia="楷体"/>
          <w:sz w:val="21"/>
          <w:szCs w:val="21"/>
        </w:rPr>
        <w:t>5</w:t>
      </w:r>
      <w:r>
        <w:rPr>
          <w:rFonts w:ascii="楷体" w:hAnsi="楷体" w:eastAsia="楷体"/>
          <w:sz w:val="21"/>
          <w:szCs w:val="21"/>
        </w:rPr>
        <w:t>9.58</w:t>
      </w:r>
      <w:r>
        <w:rPr>
          <w:rFonts w:hint="eastAsia" w:ascii="楷体" w:hAnsi="楷体" w:eastAsia="楷体"/>
          <w:sz w:val="21"/>
          <w:szCs w:val="21"/>
        </w:rPr>
        <w:t>%，</w:t>
      </w:r>
      <w:r>
        <w:rPr>
          <w:rFonts w:ascii="楷体" w:hAnsi="楷体" w:eastAsia="楷体"/>
          <w:sz w:val="21"/>
          <w:szCs w:val="21"/>
        </w:rPr>
        <w:t>上海已达到</w:t>
      </w:r>
      <w:r>
        <w:rPr>
          <w:rFonts w:hint="eastAsia" w:ascii="楷体" w:hAnsi="楷体" w:eastAsia="楷体"/>
          <w:sz w:val="21"/>
          <w:szCs w:val="21"/>
        </w:rPr>
        <w:t>8</w:t>
      </w:r>
      <w:r>
        <w:rPr>
          <w:rFonts w:ascii="楷体" w:hAnsi="楷体" w:eastAsia="楷体"/>
          <w:sz w:val="21"/>
          <w:szCs w:val="21"/>
        </w:rPr>
        <w:t>7.6</w:t>
      </w:r>
      <w:r>
        <w:rPr>
          <w:rFonts w:hint="eastAsia" w:ascii="楷体" w:hAnsi="楷体" w:eastAsia="楷体"/>
          <w:sz w:val="21"/>
          <w:szCs w:val="21"/>
        </w:rPr>
        <w:t>%。</w:t>
      </w:r>
      <w:r>
        <w:rPr>
          <w:rFonts w:ascii="楷体" w:hAnsi="楷体" w:eastAsia="楷体"/>
          <w:sz w:val="21"/>
          <w:szCs w:val="21"/>
        </w:rPr>
        <w:t>城市化背景下</w:t>
      </w:r>
      <w:r>
        <w:rPr>
          <w:rFonts w:hint="eastAsia" w:ascii="楷体" w:hAnsi="楷体" w:eastAsia="楷体"/>
          <w:sz w:val="21"/>
          <w:szCs w:val="21"/>
        </w:rPr>
        <w:t>，城乡一体化发展、</w:t>
      </w:r>
      <w:r>
        <w:rPr>
          <w:rFonts w:ascii="楷体" w:hAnsi="楷体" w:eastAsia="楷体"/>
          <w:sz w:val="21"/>
          <w:szCs w:val="21"/>
        </w:rPr>
        <w:t>乡村振兴意义重大</w:t>
      </w:r>
      <w:r>
        <w:rPr>
          <w:rFonts w:hint="eastAsia" w:ascii="楷体" w:hAnsi="楷体" w:eastAsia="楷体"/>
          <w:sz w:val="21"/>
          <w:szCs w:val="21"/>
        </w:rPr>
        <w:t>。</w:t>
      </w:r>
    </w:p>
  </w:footnote>
  <w:footnote w:id="7">
    <w:p>
      <w:pPr>
        <w:pStyle w:val="11"/>
      </w:pPr>
      <w:r>
        <w:rPr>
          <w:rStyle w:val="17"/>
        </w:rPr>
        <w:footnoteRef/>
      </w:r>
      <w:r>
        <w:rPr>
          <w:rFonts w:hint="eastAsia" w:ascii="楷体" w:hAnsi="楷体" w:eastAsia="楷体"/>
          <w:sz w:val="21"/>
          <w:szCs w:val="21"/>
        </w:rPr>
        <w:t>郑州地方高校应用型本科院校数量偏少，专业设置与区域产业对接不强，“双师型”教师比例有待提升。中高等职业院校战略性新兴产业、新能源、新材料专业欠缺，先进制造业、高成长性服务业、传统优势产业、社会建设与管理及文化产业等高层次人才培养结构和能力素质尚不能较好满足需要。</w:t>
      </w:r>
    </w:p>
  </w:footnote>
  <w:footnote w:id="8">
    <w:p>
      <w:pPr>
        <w:pStyle w:val="11"/>
      </w:pPr>
      <w:r>
        <w:rPr>
          <w:rStyle w:val="17"/>
        </w:rPr>
        <w:footnoteRef/>
      </w:r>
      <w:r>
        <w:rPr>
          <w:rFonts w:ascii="楷体" w:hAnsi="楷体" w:eastAsia="楷体"/>
          <w:sz w:val="21"/>
          <w:szCs w:val="21"/>
        </w:rPr>
        <w:t>主要指标包括</w:t>
      </w:r>
      <w:r>
        <w:rPr>
          <w:rFonts w:hint="eastAsia" w:ascii="楷体" w:hAnsi="楷体" w:eastAsia="楷体"/>
          <w:sz w:val="21"/>
          <w:szCs w:val="21"/>
        </w:rPr>
        <w:t>：留学生比例、国际教育组织设立数量或参与国际教育项目数量等。</w:t>
      </w:r>
    </w:p>
  </w:footnote>
  <w:footnote w:id="9">
    <w:p>
      <w:pPr>
        <w:pStyle w:val="11"/>
        <w:rPr>
          <w:rFonts w:ascii="楷体" w:hAnsi="楷体" w:eastAsia="楷体"/>
          <w:sz w:val="21"/>
          <w:szCs w:val="21"/>
        </w:rPr>
      </w:pPr>
      <w:r>
        <w:rPr>
          <w:rStyle w:val="17"/>
        </w:rPr>
        <w:footnoteRef/>
      </w:r>
      <w:r>
        <w:rPr>
          <w:rFonts w:ascii="楷体" w:hAnsi="楷体" w:eastAsia="楷体"/>
          <w:sz w:val="21"/>
          <w:szCs w:val="21"/>
        </w:rPr>
        <w:t>参考中国智库排行榜</w:t>
      </w:r>
      <w:r>
        <w:rPr>
          <w:rFonts w:hint="eastAsia" w:ascii="楷体" w:hAnsi="楷体" w:eastAsia="楷体"/>
          <w:sz w:val="21"/>
          <w:szCs w:val="21"/>
        </w:rPr>
        <w:t>。</w:t>
      </w:r>
    </w:p>
  </w:footnote>
  <w:footnote w:id="10">
    <w:p>
      <w:pPr>
        <w:pStyle w:val="11"/>
        <w:rPr>
          <w:sz w:val="21"/>
          <w:szCs w:val="21"/>
        </w:rPr>
      </w:pPr>
      <w:r>
        <w:rPr>
          <w:rStyle w:val="17"/>
          <w:sz w:val="21"/>
          <w:szCs w:val="21"/>
        </w:rPr>
        <w:footnoteRef/>
      </w:r>
      <w:r>
        <w:rPr>
          <w:sz w:val="21"/>
          <w:szCs w:val="21"/>
        </w:rPr>
        <w:t xml:space="preserve"> 落实党的</w:t>
      </w:r>
      <w:r>
        <w:rPr>
          <w:rFonts w:hint="eastAsia"/>
          <w:sz w:val="21"/>
          <w:szCs w:val="21"/>
        </w:rPr>
        <w:t>十九大要求，在全球关注核心素养背景下探索和实践中国本土化方案。</w:t>
      </w:r>
    </w:p>
  </w:footnote>
  <w:footnote w:id="11">
    <w:p>
      <w:pPr>
        <w:pStyle w:val="11"/>
      </w:pPr>
      <w:r>
        <w:rPr>
          <w:rStyle w:val="17"/>
          <w:sz w:val="21"/>
          <w:szCs w:val="21"/>
        </w:rPr>
        <w:footnoteRef/>
      </w:r>
      <w:r>
        <w:rPr>
          <w:sz w:val="21"/>
          <w:szCs w:val="21"/>
        </w:rPr>
        <w:t xml:space="preserve"> 营造学校主动发展的</w:t>
      </w:r>
      <w:r>
        <w:rPr>
          <w:rFonts w:hint="eastAsia"/>
          <w:sz w:val="21"/>
          <w:szCs w:val="21"/>
        </w:rPr>
        <w:t>制度环境是新时代教育现代化的重要标志之一。</w:t>
      </w:r>
    </w:p>
  </w:footnote>
  <w:footnote w:id="12">
    <w:p>
      <w:pPr>
        <w:pStyle w:val="11"/>
        <w:spacing w:line="300" w:lineRule="exact"/>
        <w:rPr>
          <w:sz w:val="21"/>
          <w:szCs w:val="21"/>
        </w:rPr>
      </w:pPr>
      <w:r>
        <w:rPr>
          <w:rStyle w:val="17"/>
        </w:rPr>
        <w:footnoteRef/>
      </w:r>
      <w:r>
        <w:t xml:space="preserve"> </w:t>
      </w:r>
      <w:r>
        <w:rPr>
          <w:rFonts w:hint="eastAsia"/>
          <w:sz w:val="21"/>
          <w:szCs w:val="21"/>
        </w:rPr>
        <w:t>参照</w:t>
      </w:r>
      <w:r>
        <w:rPr>
          <w:sz w:val="21"/>
          <w:szCs w:val="21"/>
        </w:rPr>
        <w:t>上海的目标</w:t>
      </w:r>
      <w:r>
        <w:rPr>
          <w:rFonts w:hint="eastAsia"/>
          <w:sz w:val="21"/>
          <w:szCs w:val="21"/>
        </w:rPr>
        <w:t>（2020年99.5</w:t>
      </w:r>
      <w:r>
        <w:rPr>
          <w:sz w:val="21"/>
          <w:szCs w:val="21"/>
        </w:rPr>
        <w:t>%/70%，</w:t>
      </w:r>
      <w:r>
        <w:rPr>
          <w:rFonts w:hint="eastAsia"/>
          <w:sz w:val="21"/>
          <w:szCs w:val="21"/>
        </w:rPr>
        <w:t>2035年99.5</w:t>
      </w:r>
      <w:r>
        <w:rPr>
          <w:sz w:val="21"/>
          <w:szCs w:val="21"/>
        </w:rPr>
        <w:t>%/80%</w:t>
      </w:r>
      <w:r>
        <w:rPr>
          <w:rFonts w:hint="eastAsia"/>
          <w:sz w:val="21"/>
          <w:szCs w:val="21"/>
        </w:rPr>
        <w:t>）、并考虑国家教育现代化和郑州</w:t>
      </w:r>
      <w:r>
        <w:rPr>
          <w:sz w:val="21"/>
          <w:szCs w:val="21"/>
        </w:rPr>
        <w:t>的</w:t>
      </w:r>
      <w:r>
        <w:rPr>
          <w:rFonts w:hint="eastAsia"/>
          <w:sz w:val="21"/>
          <w:szCs w:val="21"/>
        </w:rPr>
        <w:t>发展趋势进行的</w:t>
      </w:r>
      <w:r>
        <w:rPr>
          <w:sz w:val="21"/>
          <w:szCs w:val="21"/>
        </w:rPr>
        <w:t>设计</w:t>
      </w:r>
      <w:r>
        <w:rPr>
          <w:rFonts w:hint="eastAsia"/>
          <w:sz w:val="21"/>
          <w:szCs w:val="21"/>
        </w:rPr>
        <w:t>。</w:t>
      </w:r>
    </w:p>
  </w:footnote>
  <w:footnote w:id="13">
    <w:p>
      <w:pPr>
        <w:pStyle w:val="11"/>
        <w:spacing w:line="300" w:lineRule="exact"/>
        <w:rPr>
          <w:sz w:val="21"/>
          <w:szCs w:val="21"/>
        </w:rPr>
      </w:pPr>
      <w:r>
        <w:rPr>
          <w:rStyle w:val="17"/>
        </w:rPr>
        <w:footnoteRef/>
      </w:r>
      <w:r>
        <w:t xml:space="preserve"> </w:t>
      </w:r>
      <w:r>
        <w:rPr>
          <w:sz w:val="21"/>
          <w:szCs w:val="21"/>
        </w:rPr>
        <w:t>2017</w:t>
      </w:r>
      <w:r>
        <w:rPr>
          <w:rFonts w:hint="eastAsia"/>
          <w:sz w:val="21"/>
          <w:szCs w:val="21"/>
        </w:rPr>
        <w:t>年</w:t>
      </w:r>
      <w:r>
        <w:rPr>
          <w:sz w:val="21"/>
          <w:szCs w:val="21"/>
        </w:rPr>
        <w:t>郑州全市常住人口为988.07万人，比上年的972.39万人增加15.68万人，增长1.61%</w:t>
      </w:r>
      <w:r>
        <w:rPr>
          <w:rFonts w:hint="eastAsia"/>
          <w:sz w:val="21"/>
          <w:szCs w:val="21"/>
        </w:rPr>
        <w:t>。郑州</w:t>
      </w:r>
      <w:r>
        <w:rPr>
          <w:sz w:val="21"/>
          <w:szCs w:val="21"/>
        </w:rPr>
        <w:t>预计2035年GDP总量达到3.0万亿元、人均GDP达到22.0万元，人口规模达到1350万人左右。</w:t>
      </w:r>
      <w:r>
        <w:rPr>
          <w:rFonts w:hint="eastAsia"/>
          <w:sz w:val="21"/>
          <w:szCs w:val="21"/>
        </w:rPr>
        <w:t>按照郑州2035年常住人口1350万人计算，到2035年规模增长36.63%，年均增长20.1万人。按2017年每十万人口高等教育在校生10611计算，2017年高等教育在校学生为105万。若到2035年，高等教育规模同步增长36.6%，则总规模可达到143万人以上。从我国高等教育进入普及化阶段发展的实际和全国高等教育的布局结构看，郑州要18年间净增45万人的高等教育规模可能存在一些困难。从可行性出发，确定2025和2035年郑州每十万人口高等教育在学规模为0.9-1.08万和0.9-1.1万人</w:t>
      </w:r>
      <w:r>
        <w:rPr>
          <w:sz w:val="21"/>
          <w:szCs w:val="21"/>
        </w:rPr>
        <w:t>。</w:t>
      </w:r>
      <w:r>
        <w:rPr>
          <w:rFonts w:hint="eastAsia"/>
          <w:sz w:val="21"/>
          <w:szCs w:val="21"/>
        </w:rPr>
        <w:t>2017年</w:t>
      </w:r>
      <w:r>
        <w:rPr>
          <w:sz w:val="21"/>
          <w:szCs w:val="21"/>
        </w:rPr>
        <w:t>，</w:t>
      </w:r>
      <w:r>
        <w:rPr>
          <w:rFonts w:hint="eastAsia"/>
          <w:sz w:val="21"/>
          <w:szCs w:val="21"/>
        </w:rPr>
        <w:t>全国</w:t>
      </w:r>
      <w:r>
        <w:rPr>
          <w:sz w:val="21"/>
          <w:szCs w:val="21"/>
        </w:rPr>
        <w:t>城市中</w:t>
      </w:r>
      <w:r>
        <w:rPr>
          <w:rFonts w:hint="eastAsia"/>
          <w:sz w:val="21"/>
          <w:szCs w:val="21"/>
        </w:rPr>
        <w:t>广州</w:t>
      </w:r>
      <w:r>
        <w:rPr>
          <w:sz w:val="21"/>
          <w:szCs w:val="21"/>
        </w:rPr>
        <w:t>、武汉、成都、</w:t>
      </w:r>
      <w:r>
        <w:rPr>
          <w:rFonts w:hint="eastAsia"/>
          <w:sz w:val="21"/>
          <w:szCs w:val="21"/>
        </w:rPr>
        <w:t>西</w:t>
      </w:r>
      <w:r>
        <w:rPr>
          <w:sz w:val="21"/>
          <w:szCs w:val="21"/>
        </w:rPr>
        <w:t>安、南京在校生规模鬼超过</w:t>
      </w:r>
      <w:r>
        <w:rPr>
          <w:rFonts w:hint="eastAsia"/>
          <w:sz w:val="21"/>
          <w:szCs w:val="21"/>
        </w:rPr>
        <w:t>100万</w:t>
      </w:r>
      <w:r>
        <w:rPr>
          <w:sz w:val="21"/>
          <w:szCs w:val="21"/>
        </w:rPr>
        <w:t>人，</w:t>
      </w:r>
      <w:r>
        <w:rPr>
          <w:rFonts w:hint="eastAsia"/>
          <w:sz w:val="21"/>
          <w:szCs w:val="21"/>
        </w:rPr>
        <w:t>西</w:t>
      </w:r>
      <w:r>
        <w:rPr>
          <w:sz w:val="21"/>
          <w:szCs w:val="21"/>
        </w:rPr>
        <w:t>安、武汉、南京、广州、济南、长春每十万人口高等教育在学规模超过1</w:t>
      </w:r>
      <w:r>
        <w:rPr>
          <w:rFonts w:hint="eastAsia"/>
          <w:sz w:val="21"/>
          <w:szCs w:val="21"/>
        </w:rPr>
        <w:t>万人</w:t>
      </w:r>
      <w:r>
        <w:rPr>
          <w:sz w:val="21"/>
          <w:szCs w:val="21"/>
        </w:rPr>
        <w:t>，最高达到</w:t>
      </w:r>
      <w:r>
        <w:rPr>
          <w:rFonts w:hint="eastAsia"/>
          <w:sz w:val="21"/>
          <w:szCs w:val="21"/>
        </w:rPr>
        <w:t>1.39万人</w:t>
      </w:r>
      <w:r>
        <w:rPr>
          <w:sz w:val="21"/>
          <w:szCs w:val="21"/>
        </w:rPr>
        <w:t>。</w:t>
      </w:r>
    </w:p>
  </w:footnote>
  <w:footnote w:id="14">
    <w:p>
      <w:pPr>
        <w:pStyle w:val="11"/>
        <w:spacing w:line="300" w:lineRule="exact"/>
        <w:rPr>
          <w:sz w:val="21"/>
          <w:szCs w:val="21"/>
        </w:rPr>
      </w:pPr>
      <w:r>
        <w:rPr>
          <w:rStyle w:val="17"/>
        </w:rPr>
        <w:footnoteRef/>
      </w:r>
      <w:r>
        <w:t xml:space="preserve"> </w:t>
      </w:r>
      <w:r>
        <w:rPr>
          <w:rFonts w:hint="eastAsia"/>
          <w:sz w:val="21"/>
          <w:szCs w:val="21"/>
        </w:rPr>
        <w:t>参照《中国教育现代化2035》，考虑郑州产业结构、</w:t>
      </w:r>
      <w:r>
        <w:rPr>
          <w:sz w:val="21"/>
          <w:szCs w:val="21"/>
        </w:rPr>
        <w:t>人力资源</w:t>
      </w:r>
      <w:r>
        <w:rPr>
          <w:rFonts w:hint="eastAsia"/>
          <w:sz w:val="21"/>
          <w:szCs w:val="21"/>
        </w:rPr>
        <w:t>需求和</w:t>
      </w:r>
      <w:r>
        <w:rPr>
          <w:sz w:val="21"/>
          <w:szCs w:val="21"/>
        </w:rPr>
        <w:t>劳动力供给渠道，</w:t>
      </w:r>
      <w:r>
        <w:rPr>
          <w:rFonts w:hint="eastAsia"/>
          <w:sz w:val="21"/>
          <w:szCs w:val="21"/>
        </w:rPr>
        <w:t>确定2035年要</w:t>
      </w:r>
      <w:r>
        <w:rPr>
          <w:sz w:val="21"/>
          <w:szCs w:val="21"/>
        </w:rPr>
        <w:t>达到该指标的全国平均水平。</w:t>
      </w:r>
    </w:p>
  </w:footnote>
  <w:footnote w:id="15">
    <w:p>
      <w:pPr>
        <w:pStyle w:val="11"/>
        <w:spacing w:line="300" w:lineRule="exact"/>
        <w:rPr>
          <w:sz w:val="21"/>
          <w:szCs w:val="21"/>
        </w:rPr>
      </w:pPr>
      <w:r>
        <w:rPr>
          <w:rStyle w:val="17"/>
        </w:rPr>
        <w:footnoteRef/>
      </w:r>
      <w:r>
        <w:t xml:space="preserve"> </w:t>
      </w:r>
      <w:r>
        <w:rPr>
          <w:rFonts w:hint="eastAsia"/>
          <w:sz w:val="21"/>
          <w:szCs w:val="21"/>
        </w:rPr>
        <w:t>参照《中国教育现代化2035》，考虑郑州</w:t>
      </w:r>
      <w:r>
        <w:rPr>
          <w:sz w:val="21"/>
          <w:szCs w:val="21"/>
        </w:rPr>
        <w:t>达到</w:t>
      </w:r>
      <w:r>
        <w:rPr>
          <w:rFonts w:hint="eastAsia"/>
          <w:sz w:val="21"/>
          <w:szCs w:val="21"/>
        </w:rPr>
        <w:t>并</w:t>
      </w:r>
      <w:r>
        <w:rPr>
          <w:sz w:val="21"/>
          <w:szCs w:val="21"/>
        </w:rPr>
        <w:t>超过该指标的全国平均水平</w:t>
      </w:r>
      <w:r>
        <w:rPr>
          <w:rFonts w:hint="eastAsia"/>
          <w:sz w:val="21"/>
          <w:szCs w:val="21"/>
        </w:rPr>
        <w:t>。</w:t>
      </w:r>
      <w:r>
        <w:rPr>
          <w:sz w:val="21"/>
          <w:szCs w:val="21"/>
        </w:rPr>
        <w:t>另外</w:t>
      </w:r>
      <w:r>
        <w:rPr>
          <w:rFonts w:hint="eastAsia"/>
          <w:sz w:val="21"/>
          <w:szCs w:val="21"/>
        </w:rPr>
        <w:t>，</w:t>
      </w:r>
      <w:r>
        <w:rPr>
          <w:sz w:val="21"/>
          <w:szCs w:val="21"/>
        </w:rPr>
        <w:t>上海该指标</w:t>
      </w:r>
      <w:r>
        <w:rPr>
          <w:rFonts w:hint="eastAsia"/>
          <w:sz w:val="21"/>
          <w:szCs w:val="21"/>
        </w:rPr>
        <w:t>2016年</w:t>
      </w:r>
      <w:r>
        <w:rPr>
          <w:sz w:val="21"/>
          <w:szCs w:val="21"/>
        </w:rPr>
        <w:t>为</w:t>
      </w:r>
      <w:r>
        <w:rPr>
          <w:rFonts w:hint="eastAsia"/>
          <w:sz w:val="21"/>
          <w:szCs w:val="21"/>
        </w:rPr>
        <w:t>12.1年</w:t>
      </w:r>
      <w:r>
        <w:rPr>
          <w:sz w:val="21"/>
          <w:szCs w:val="21"/>
        </w:rPr>
        <w:t>，</w:t>
      </w:r>
      <w:r>
        <w:rPr>
          <w:rFonts w:hint="eastAsia"/>
          <w:sz w:val="21"/>
          <w:szCs w:val="21"/>
        </w:rPr>
        <w:t>2020年12.5年</w:t>
      </w:r>
      <w:r>
        <w:rPr>
          <w:sz w:val="21"/>
          <w:szCs w:val="21"/>
        </w:rPr>
        <w:t>，</w:t>
      </w:r>
      <w:r>
        <w:rPr>
          <w:rFonts w:hint="eastAsia"/>
          <w:sz w:val="21"/>
          <w:szCs w:val="21"/>
        </w:rPr>
        <w:t>2035年</w:t>
      </w:r>
      <w:r>
        <w:rPr>
          <w:sz w:val="21"/>
          <w:szCs w:val="21"/>
        </w:rPr>
        <w:t>达到</w:t>
      </w:r>
      <w:r>
        <w:rPr>
          <w:rFonts w:hint="eastAsia"/>
          <w:sz w:val="21"/>
          <w:szCs w:val="21"/>
        </w:rPr>
        <w:t>13.5年</w:t>
      </w:r>
      <w:r>
        <w:rPr>
          <w:sz w:val="21"/>
          <w:szCs w:val="21"/>
        </w:rPr>
        <w:t>。</w:t>
      </w:r>
    </w:p>
  </w:footnote>
  <w:footnote w:id="16">
    <w:p>
      <w:pPr>
        <w:pStyle w:val="11"/>
        <w:spacing w:line="240" w:lineRule="auto"/>
      </w:pPr>
      <w:r>
        <w:rPr>
          <w:rStyle w:val="17"/>
        </w:rPr>
        <w:footnoteRef/>
      </w:r>
      <w:r>
        <w:t xml:space="preserve"> </w:t>
      </w:r>
      <w:r>
        <w:rPr>
          <w:rFonts w:hint="eastAsia"/>
          <w:sz w:val="21"/>
          <w:szCs w:val="21"/>
        </w:rPr>
        <w:t>学前教育是基础教育的重要组成部分，并且随着各级教育全面普及、可持续发展理念的深入以及脑科学研究成果在未来教育中更多的应用，学前教育作为人终身学习基础的意义越来越显得重要。</w:t>
      </w:r>
      <w:r>
        <w:rPr>
          <w:sz w:val="21"/>
          <w:szCs w:val="21"/>
        </w:rPr>
        <w:t>全球研究表明，参加过早期教育的儿童接受学校就读的时间更长，并且更有可能完成高中学业，在其成人后更易得到更多更好的就业机会。此外，促进儿童早期发展已被证明是对经济增长的有效投资。有证据表明，为优质儿童早期发展方案每多投资1美元，将带来6至17美元的收益。</w:t>
      </w:r>
    </w:p>
  </w:footnote>
  <w:footnote w:id="17">
    <w:p>
      <w:pPr>
        <w:pStyle w:val="11"/>
        <w:spacing w:line="240" w:lineRule="auto"/>
      </w:pPr>
      <w:r>
        <w:rPr>
          <w:rStyle w:val="17"/>
        </w:rPr>
        <w:footnoteRef/>
      </w:r>
      <w:r>
        <w:t xml:space="preserve"> </w:t>
      </w:r>
      <w:r>
        <w:rPr>
          <w:rFonts w:hint="eastAsia"/>
          <w:sz w:val="21"/>
          <w:szCs w:val="21"/>
        </w:rPr>
        <w:t>优质均衡发展是一个持续发展的过程，是在基本均衡基础上的发展。县（市、区）域内义务教育优质均衡比例超过</w:t>
      </w:r>
      <w:r>
        <w:rPr>
          <w:sz w:val="21"/>
          <w:szCs w:val="21"/>
        </w:rPr>
        <w:t>95</w:t>
      </w:r>
      <w:r>
        <w:rPr>
          <w:rFonts w:hint="eastAsia"/>
          <w:sz w:val="21"/>
          <w:szCs w:val="21"/>
        </w:rPr>
        <w:t>%是《中国教育现代化2</w:t>
      </w:r>
      <w:r>
        <w:rPr>
          <w:sz w:val="21"/>
          <w:szCs w:val="21"/>
        </w:rPr>
        <w:t>035</w:t>
      </w:r>
      <w:r>
        <w:rPr>
          <w:rFonts w:hint="eastAsia"/>
          <w:sz w:val="21"/>
          <w:szCs w:val="21"/>
        </w:rPr>
        <w:t>》确立的主要预期目标之一。预期郑州十四五到2</w:t>
      </w:r>
      <w:r>
        <w:rPr>
          <w:sz w:val="21"/>
          <w:szCs w:val="21"/>
        </w:rPr>
        <w:t>03</w:t>
      </w:r>
      <w:r>
        <w:rPr>
          <w:rFonts w:hint="eastAsia"/>
          <w:sz w:val="21"/>
          <w:szCs w:val="21"/>
        </w:rPr>
        <w:t>0年前实现。2</w:t>
      </w:r>
      <w:r>
        <w:rPr>
          <w:sz w:val="21"/>
          <w:szCs w:val="21"/>
        </w:rPr>
        <w:t>030后义务教育</w:t>
      </w:r>
      <w:r>
        <w:rPr>
          <w:rFonts w:hint="eastAsia"/>
          <w:sz w:val="21"/>
          <w:szCs w:val="21"/>
        </w:rPr>
        <w:t>面临持续推动</w:t>
      </w:r>
      <w:r>
        <w:rPr>
          <w:sz w:val="21"/>
          <w:szCs w:val="21"/>
        </w:rPr>
        <w:t>优质均衡的任务</w:t>
      </w:r>
      <w:r>
        <w:rPr>
          <w:rFonts w:hint="eastAsia"/>
          <w:sz w:val="21"/>
          <w:szCs w:val="21"/>
        </w:rPr>
        <w:t>。持续推动优质均衡的目的在于提高城乡每一位学生学习质量，这是办好每一所家门口学校的结果导向，聚焦学习成果。</w:t>
      </w:r>
    </w:p>
  </w:footnote>
  <w:footnote w:id="18">
    <w:p>
      <w:pPr>
        <w:pStyle w:val="11"/>
        <w:spacing w:line="240" w:lineRule="auto"/>
        <w:rPr>
          <w:sz w:val="21"/>
          <w:szCs w:val="21"/>
        </w:rPr>
      </w:pPr>
      <w:r>
        <w:rPr>
          <w:rStyle w:val="17"/>
        </w:rPr>
        <w:footnoteRef/>
      </w:r>
      <w:r>
        <w:t xml:space="preserve"> </w:t>
      </w:r>
      <w:r>
        <w:rPr>
          <w:sz w:val="21"/>
          <w:szCs w:val="21"/>
        </w:rPr>
        <w:t>有效达成学业质量是在</w:t>
      </w:r>
      <w:r>
        <w:rPr>
          <w:rFonts w:hint="eastAsia"/>
          <w:sz w:val="21"/>
          <w:szCs w:val="21"/>
        </w:rPr>
        <w:t>新质量观下的学业质量，是基于郑州学业质量体检制度基础上提出的新任务，并与联合国教科文组织提出的2</w:t>
      </w:r>
      <w:r>
        <w:rPr>
          <w:sz w:val="21"/>
          <w:szCs w:val="21"/>
        </w:rPr>
        <w:t>030教育目标保持吻合</w:t>
      </w:r>
      <w:r>
        <w:rPr>
          <w:rFonts w:hint="eastAsia"/>
          <w:sz w:val="21"/>
          <w:szCs w:val="21"/>
        </w:rPr>
        <w:t>。</w:t>
      </w:r>
    </w:p>
  </w:footnote>
  <w:footnote w:id="19">
    <w:p>
      <w:pPr>
        <w:pStyle w:val="11"/>
      </w:pPr>
      <w:r>
        <w:rPr>
          <w:rStyle w:val="17"/>
        </w:rPr>
        <w:footnoteRef/>
      </w:r>
      <w:r>
        <w:t xml:space="preserve"> 教育体系建设的目的在于</w:t>
      </w:r>
      <w:r>
        <w:rPr>
          <w:rFonts w:hint="eastAsia"/>
        </w:rPr>
        <w:t>为人才成长提供多种通道，</w:t>
      </w:r>
    </w:p>
  </w:footnote>
  <w:footnote w:id="20">
    <w:p>
      <w:pPr>
        <w:pStyle w:val="11"/>
      </w:pPr>
      <w:r>
        <w:rPr>
          <w:rStyle w:val="17"/>
        </w:rPr>
        <w:footnoteRef/>
      </w:r>
      <w:r>
        <w:t xml:space="preserve"> </w:t>
      </w:r>
      <w:r>
        <w:rPr>
          <w:rFonts w:hint="eastAsia"/>
          <w:sz w:val="21"/>
          <w:szCs w:val="21"/>
        </w:rPr>
        <w:t>国家教育科学决策服务系统，2</w:t>
      </w:r>
      <w:r>
        <w:rPr>
          <w:sz w:val="21"/>
          <w:szCs w:val="21"/>
        </w:rPr>
        <w:t>015年研发完成一期</w:t>
      </w:r>
      <w:r>
        <w:rPr>
          <w:rFonts w:hint="eastAsia"/>
          <w:sz w:val="21"/>
          <w:szCs w:val="21"/>
        </w:rPr>
        <w:t>，在</w:t>
      </w:r>
      <w:r>
        <w:rPr>
          <w:sz w:val="21"/>
          <w:szCs w:val="21"/>
        </w:rPr>
        <w:t>教育部内网运行</w:t>
      </w:r>
      <w:r>
        <w:rPr>
          <w:rFonts w:hint="eastAsia"/>
          <w:sz w:val="21"/>
          <w:szCs w:val="21"/>
        </w:rPr>
        <w:t>，</w:t>
      </w:r>
      <w:r>
        <w:rPr>
          <w:sz w:val="21"/>
          <w:szCs w:val="21"/>
        </w:rPr>
        <w:t>上海市教科院参与系统的研发</w:t>
      </w:r>
      <w:r>
        <w:rPr>
          <w:rFonts w:hint="eastAsia"/>
          <w:sz w:val="21"/>
          <w:szCs w:val="21"/>
        </w:rPr>
        <w:t>。教育决策服务系统是对数据库、教育管理信息系统的超越，整合多种数据，以问题为导向，运用人工智能及地图技术。目前，尚没有省会城市研发教育决策服务系统。上海等地区已开始部署研发省级教育决策服务系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name="footnote reference"/>
    <w:lsdException w:qFormat="1" w:uiPriority="0" w:name="annotation reference"/>
    <w:lsdException w:uiPriority="0" w:name="line number"/>
    <w:lsdException w:qFormat="1"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5"/>
    <w:qFormat/>
    <w:uiPriority w:val="9"/>
    <w:pPr>
      <w:keepNext/>
      <w:keepLines/>
      <w:widowControl/>
      <w:spacing w:before="340" w:after="330" w:line="578" w:lineRule="atLeast"/>
      <w:jc w:val="left"/>
      <w:outlineLvl w:val="0"/>
    </w:pPr>
    <w:rPr>
      <w:rFonts w:ascii="等线" w:hAnsi="等线" w:eastAsia="等线"/>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Calibri Light" w:hAnsi="Calibri Light" w:cs="Times New Roman"/>
      <w:b/>
      <w:bCs/>
      <w:sz w:val="32"/>
      <w:szCs w:val="32"/>
    </w:rPr>
  </w:style>
  <w:style w:type="character" w:default="1" w:styleId="13">
    <w:name w:val="Default Paragraph Font"/>
    <w:semiHidden/>
    <w:unhideWhenUsed/>
    <w:uiPriority w:val="1"/>
  </w:style>
  <w:style w:type="paragraph" w:styleId="4">
    <w:name w:val="annotation subject"/>
    <w:basedOn w:val="5"/>
    <w:next w:val="5"/>
    <w:link w:val="52"/>
    <w:semiHidden/>
    <w:unhideWhenUsed/>
    <w:qFormat/>
    <w:uiPriority w:val="0"/>
    <w:rPr>
      <w:b/>
      <w:bCs/>
    </w:rPr>
  </w:style>
  <w:style w:type="paragraph" w:styleId="5">
    <w:name w:val="annotation text"/>
    <w:basedOn w:val="1"/>
    <w:link w:val="51"/>
    <w:semiHidden/>
    <w:unhideWhenUsed/>
    <w:qFormat/>
    <w:uiPriority w:val="0"/>
    <w:pPr>
      <w:jc w:val="left"/>
    </w:pPr>
    <w:rPr>
      <w:rFonts w:ascii="等线" w:hAnsi="等线" w:eastAsia="等线"/>
    </w:rPr>
  </w:style>
  <w:style w:type="paragraph" w:styleId="6">
    <w:name w:val="Document Map"/>
    <w:basedOn w:val="1"/>
    <w:link w:val="36"/>
    <w:semiHidden/>
    <w:unhideWhenUsed/>
    <w:uiPriority w:val="99"/>
    <w:pPr>
      <w:widowControl/>
      <w:spacing w:line="500" w:lineRule="exact"/>
      <w:jc w:val="left"/>
    </w:pPr>
    <w:rPr>
      <w:rFonts w:ascii="宋体" w:hAnsi="等线"/>
      <w:sz w:val="18"/>
      <w:szCs w:val="18"/>
    </w:rPr>
  </w:style>
  <w:style w:type="paragraph" w:styleId="7">
    <w:name w:val="Date"/>
    <w:basedOn w:val="1"/>
    <w:next w:val="1"/>
    <w:link w:val="37"/>
    <w:semiHidden/>
    <w:unhideWhenUsed/>
    <w:qFormat/>
    <w:uiPriority w:val="99"/>
    <w:pPr>
      <w:ind w:left="100" w:leftChars="2500"/>
    </w:pPr>
    <w:rPr>
      <w:rFonts w:ascii="等线" w:hAnsi="等线" w:eastAsia="等线"/>
    </w:rPr>
  </w:style>
  <w:style w:type="paragraph" w:styleId="8">
    <w:name w:val="Balloon Text"/>
    <w:basedOn w:val="1"/>
    <w:link w:val="38"/>
    <w:semiHidden/>
    <w:unhideWhenUsed/>
    <w:qFormat/>
    <w:uiPriority w:val="99"/>
    <w:pPr>
      <w:widowControl/>
      <w:jc w:val="left"/>
    </w:pPr>
    <w:rPr>
      <w:rFonts w:ascii="等线" w:hAnsi="等线" w:eastAsia="等线"/>
      <w:sz w:val="18"/>
      <w:szCs w:val="18"/>
    </w:rPr>
  </w:style>
  <w:style w:type="paragraph" w:styleId="9">
    <w:name w:val="footer"/>
    <w:basedOn w:val="1"/>
    <w:link w:val="34"/>
    <w:unhideWhenUsed/>
    <w:qFormat/>
    <w:uiPriority w:val="99"/>
    <w:pPr>
      <w:tabs>
        <w:tab w:val="center" w:pos="4153"/>
        <w:tab w:val="right" w:pos="8306"/>
      </w:tabs>
      <w:snapToGrid w:val="0"/>
      <w:jc w:val="left"/>
    </w:pPr>
    <w:rPr>
      <w:sz w:val="18"/>
      <w:szCs w:val="18"/>
    </w:rPr>
  </w:style>
  <w:style w:type="paragraph" w:styleId="10">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9"/>
    <w:unhideWhenUsed/>
    <w:qFormat/>
    <w:uiPriority w:val="99"/>
    <w:pPr>
      <w:snapToGrid w:val="0"/>
      <w:spacing w:line="520" w:lineRule="exact"/>
      <w:jc w:val="left"/>
    </w:pPr>
    <w:rPr>
      <w:rFonts w:ascii="Times New Roman" w:hAnsi="Times New Roman" w:eastAsia="楷体_GB2312"/>
      <w:sz w:val="28"/>
      <w:szCs w:val="18"/>
    </w:rPr>
  </w:style>
  <w:style w:type="paragraph" w:styleId="12">
    <w:name w:val="toc 2"/>
    <w:basedOn w:val="1"/>
    <w:next w:val="1"/>
    <w:unhideWhenUsed/>
    <w:qFormat/>
    <w:uiPriority w:val="39"/>
    <w:pPr>
      <w:widowControl/>
      <w:spacing w:line="500" w:lineRule="exact"/>
      <w:ind w:left="420" w:leftChars="200"/>
      <w:jc w:val="left"/>
    </w:pPr>
    <w:rPr>
      <w:rFonts w:ascii="等线" w:hAnsi="等线" w:eastAsia="等线"/>
      <w:sz w:val="28"/>
      <w:szCs w:val="28"/>
    </w:rPr>
  </w:style>
  <w:style w:type="character" w:styleId="14">
    <w:name w:val="page number"/>
    <w:basedOn w:val="13"/>
    <w:semiHidden/>
    <w:unhideWhenUsed/>
    <w:qFormat/>
    <w:uiPriority w:val="99"/>
    <w:rPr/>
  </w:style>
  <w:style w:type="character" w:styleId="15">
    <w:name w:val="Hyperlink"/>
    <w:unhideWhenUsed/>
    <w:qFormat/>
    <w:uiPriority w:val="99"/>
    <w:rPr>
      <w:color w:val="0563C1"/>
      <w:u w:val="single"/>
    </w:rPr>
  </w:style>
  <w:style w:type="character" w:styleId="16">
    <w:name w:val="annotation reference"/>
    <w:semiHidden/>
    <w:unhideWhenUsed/>
    <w:qFormat/>
    <w:uiPriority w:val="0"/>
    <w:rPr>
      <w:sz w:val="21"/>
      <w:szCs w:val="21"/>
    </w:rPr>
  </w:style>
  <w:style w:type="character" w:styleId="17">
    <w:name w:val="footnote reference"/>
    <w:semiHidden/>
    <w:unhideWhenUsed/>
    <w:qFormat/>
    <w:uiPriority w:val="99"/>
    <w:rPr>
      <w:rFonts w:eastAsia="楷体_GB2312"/>
      <w:sz w:val="28"/>
      <w:vertAlign w:val="superscript"/>
    </w:rPr>
  </w:style>
  <w:style w:type="paragraph" w:customStyle="1" w:styleId="18">
    <w:name w:val="列出段落1"/>
    <w:basedOn w:val="1"/>
    <w:qFormat/>
    <w:uiPriority w:val="34"/>
    <w:pPr>
      <w:ind w:firstLine="420" w:firstLineChars="200"/>
    </w:pPr>
    <w:rPr>
      <w:rFonts w:ascii="等线" w:hAnsi="等线" w:eastAsia="等线"/>
    </w:rPr>
  </w:style>
  <w:style w:type="paragraph" w:customStyle="1" w:styleId="19">
    <w:name w:val="标题 21"/>
    <w:basedOn w:val="1"/>
    <w:next w:val="1"/>
    <w:unhideWhenUsed/>
    <w:qFormat/>
    <w:uiPriority w:val="9"/>
    <w:pPr>
      <w:keepNext/>
      <w:keepLines/>
      <w:spacing w:before="260" w:after="260" w:line="416" w:lineRule="auto"/>
      <w:outlineLvl w:val="1"/>
    </w:pPr>
    <w:rPr>
      <w:rFonts w:ascii="Calibri Light" w:hAnsi="Calibri Light" w:cs="Times New Roman"/>
      <w:b/>
      <w:bCs/>
      <w:sz w:val="32"/>
      <w:szCs w:val="32"/>
    </w:rPr>
  </w:style>
  <w:style w:type="paragraph" w:customStyle="1" w:styleId="20">
    <w:name w:val="自设标题一"/>
    <w:basedOn w:val="1"/>
    <w:link w:val="40"/>
    <w:qFormat/>
    <w:uiPriority w:val="0"/>
    <w:pPr>
      <w:spacing w:beforeLines="50" w:afterLines="50" w:line="640" w:lineRule="exact"/>
      <w:jc w:val="center"/>
    </w:pPr>
    <w:rPr>
      <w:rFonts w:ascii="Times New Roman" w:hAnsi="Times New Roman" w:eastAsia="方正小标宋简体"/>
      <w:sz w:val="44"/>
    </w:rPr>
  </w:style>
  <w:style w:type="paragraph" w:customStyle="1" w:styleId="21">
    <w:name w:val="自设标题二"/>
    <w:basedOn w:val="1"/>
    <w:link w:val="41"/>
    <w:qFormat/>
    <w:uiPriority w:val="0"/>
    <w:pPr>
      <w:spacing w:beforeLines="100" w:afterLines="100" w:line="600" w:lineRule="exact"/>
      <w:jc w:val="center"/>
    </w:pPr>
    <w:rPr>
      <w:rFonts w:ascii="Times New Roman" w:hAnsi="Times New Roman" w:eastAsia="仿宋_GB2312"/>
      <w:sz w:val="36"/>
    </w:rPr>
  </w:style>
  <w:style w:type="paragraph" w:customStyle="1" w:styleId="22">
    <w:name w:val="自设标题三"/>
    <w:basedOn w:val="1"/>
    <w:link w:val="42"/>
    <w:qFormat/>
    <w:uiPriority w:val="0"/>
    <w:pPr>
      <w:spacing w:line="600" w:lineRule="exact"/>
      <w:ind w:firstLine="200" w:firstLineChars="200"/>
    </w:pPr>
    <w:rPr>
      <w:rFonts w:ascii="Times New Roman" w:hAnsi="Times New Roman" w:eastAsia="黑体"/>
      <w:sz w:val="32"/>
    </w:rPr>
  </w:style>
  <w:style w:type="paragraph" w:customStyle="1" w:styleId="23">
    <w:name w:val="自设标题四"/>
    <w:basedOn w:val="1"/>
    <w:link w:val="43"/>
    <w:qFormat/>
    <w:uiPriority w:val="0"/>
    <w:pPr>
      <w:spacing w:line="600" w:lineRule="exact"/>
      <w:ind w:firstLine="200" w:firstLineChars="200"/>
    </w:pPr>
    <w:rPr>
      <w:rFonts w:ascii="Times New Roman" w:hAnsi="Times New Roman" w:eastAsia="楷体_GB2312"/>
      <w:sz w:val="32"/>
    </w:rPr>
  </w:style>
  <w:style w:type="paragraph" w:customStyle="1" w:styleId="24">
    <w:name w:val="自设标题五"/>
    <w:basedOn w:val="1"/>
    <w:link w:val="44"/>
    <w:qFormat/>
    <w:uiPriority w:val="0"/>
    <w:pPr>
      <w:spacing w:line="600" w:lineRule="exact"/>
      <w:jc w:val="center"/>
    </w:pPr>
    <w:rPr>
      <w:rFonts w:ascii="Times New Roman" w:hAnsi="Times New Roman" w:eastAsia="黑体"/>
      <w:sz w:val="32"/>
    </w:rPr>
  </w:style>
  <w:style w:type="paragraph" w:customStyle="1" w:styleId="25">
    <w:name w:val="自设标题六"/>
    <w:basedOn w:val="1"/>
    <w:link w:val="45"/>
    <w:qFormat/>
    <w:uiPriority w:val="0"/>
    <w:pPr>
      <w:spacing w:beforeLines="50" w:afterLines="100" w:line="520" w:lineRule="exact"/>
      <w:ind w:left="100" w:leftChars="100" w:right="100" w:rightChars="100" w:firstLine="200" w:firstLineChars="200"/>
    </w:pPr>
    <w:rPr>
      <w:rFonts w:ascii="Times New Roman" w:hAnsi="Times New Roman" w:eastAsia="楷体_GB2312"/>
      <w:sz w:val="30"/>
    </w:rPr>
  </w:style>
  <w:style w:type="paragraph" w:customStyle="1" w:styleId="26">
    <w:name w:val="自设副标题二"/>
    <w:basedOn w:val="1"/>
    <w:link w:val="46"/>
    <w:qFormat/>
    <w:uiPriority w:val="0"/>
    <w:pPr>
      <w:spacing w:beforeLines="50" w:afterLines="100" w:line="600" w:lineRule="exact"/>
      <w:jc w:val="center"/>
    </w:pPr>
    <w:rPr>
      <w:rFonts w:ascii="Times New Roman" w:hAnsi="Times New Roman" w:eastAsia="楷体_GB2312"/>
      <w:sz w:val="32"/>
    </w:rPr>
  </w:style>
  <w:style w:type="paragraph" w:customStyle="1" w:styleId="27">
    <w:name w:val="自设副标题一"/>
    <w:basedOn w:val="1"/>
    <w:link w:val="47"/>
    <w:qFormat/>
    <w:uiPriority w:val="0"/>
    <w:pPr>
      <w:spacing w:beforeLines="50" w:afterLines="50" w:line="600" w:lineRule="exact"/>
      <w:jc w:val="center"/>
    </w:pPr>
    <w:rPr>
      <w:rFonts w:ascii="Times New Roman" w:hAnsi="Times New Roman" w:eastAsia="仿宋_GB2312"/>
      <w:sz w:val="32"/>
    </w:rPr>
  </w:style>
  <w:style w:type="paragraph" w:customStyle="1" w:styleId="28">
    <w:name w:val="自设正文"/>
    <w:basedOn w:val="1"/>
    <w:link w:val="48"/>
    <w:qFormat/>
    <w:uiPriority w:val="0"/>
    <w:pPr>
      <w:spacing w:line="600" w:lineRule="exact"/>
      <w:ind w:firstLine="200" w:firstLineChars="200"/>
    </w:pPr>
    <w:rPr>
      <w:rFonts w:ascii="Times New Roman" w:hAnsi="Times New Roman" w:eastAsia="仿宋_GB2312"/>
      <w:sz w:val="32"/>
    </w:rPr>
  </w:style>
  <w:style w:type="paragraph" w:customStyle="1" w:styleId="29">
    <w:name w:val="TOC 标题1"/>
    <w:basedOn w:val="2"/>
    <w:next w:val="1"/>
    <w:unhideWhenUsed/>
    <w:qFormat/>
    <w:uiPriority w:val="39"/>
    <w:pPr>
      <w:spacing w:before="240" w:after="0" w:line="259" w:lineRule="auto"/>
      <w:outlineLvl w:val="9"/>
    </w:pPr>
    <w:rPr>
      <w:rFonts w:ascii="Calibri Light" w:hAnsi="Calibri Light" w:eastAsia="宋体" w:cs="Times New Roman"/>
      <w:b w:val="0"/>
      <w:bCs w:val="0"/>
      <w:color w:val="2E74B5"/>
      <w:kern w:val="0"/>
      <w:sz w:val="32"/>
      <w:szCs w:val="32"/>
    </w:rPr>
  </w:style>
  <w:style w:type="paragraph" w:customStyle="1" w:styleId="30">
    <w:name w:val="TOC 标题2"/>
    <w:basedOn w:val="2"/>
    <w:next w:val="1"/>
    <w:unhideWhenUsed/>
    <w:qFormat/>
    <w:uiPriority w:val="39"/>
    <w:pPr>
      <w:spacing w:before="240" w:after="0" w:line="259" w:lineRule="auto"/>
      <w:outlineLvl w:val="9"/>
    </w:pPr>
    <w:rPr>
      <w:rFonts w:ascii="等线 Light" w:hAnsi="等线 Light" w:eastAsia="等线 Light"/>
      <w:b w:val="0"/>
      <w:bCs w:val="0"/>
      <w:color w:val="2E5394"/>
      <w:kern w:val="0"/>
      <w:sz w:val="32"/>
      <w:szCs w:val="32"/>
    </w:rPr>
  </w:style>
  <w:style w:type="paragraph" w:customStyle="1" w:styleId="31">
    <w:name w:val="p0"/>
    <w:basedOn w:val="1"/>
    <w:qFormat/>
    <w:uiPriority w:val="0"/>
    <w:pPr>
      <w:widowControl/>
    </w:pPr>
    <w:rPr>
      <w:rFonts w:ascii="Times New Roman" w:hAnsi="Times New Roman" w:cs="Times New Roman"/>
      <w:kern w:val="0"/>
      <w:szCs w:val="21"/>
    </w:rPr>
  </w:style>
  <w:style w:type="character" w:customStyle="1" w:styleId="32">
    <w:name w:val="标题 2 Char Char"/>
    <w:link w:val="3"/>
    <w:uiPriority w:val="9"/>
    <w:rPr>
      <w:rFonts w:ascii="Calibri Light" w:hAnsi="Calibri Light" w:eastAsia="宋体" w:cs="Times New Roman"/>
      <w:b/>
      <w:bCs/>
      <w:sz w:val="32"/>
      <w:szCs w:val="32"/>
    </w:rPr>
  </w:style>
  <w:style w:type="character" w:customStyle="1" w:styleId="33">
    <w:name w:val="页眉 Char Char"/>
    <w:link w:val="10"/>
    <w:uiPriority w:val="99"/>
    <w:rPr>
      <w:sz w:val="18"/>
      <w:szCs w:val="18"/>
    </w:rPr>
  </w:style>
  <w:style w:type="character" w:customStyle="1" w:styleId="34">
    <w:name w:val="页脚 Char Char"/>
    <w:link w:val="9"/>
    <w:uiPriority w:val="99"/>
    <w:rPr>
      <w:sz w:val="18"/>
      <w:szCs w:val="18"/>
    </w:rPr>
  </w:style>
  <w:style w:type="character" w:customStyle="1" w:styleId="35">
    <w:name w:val="标题 1 Char Char"/>
    <w:link w:val="2"/>
    <w:uiPriority w:val="9"/>
    <w:rPr>
      <w:rFonts w:ascii="等线" w:hAnsi="等线" w:eastAsia="等线" w:cs="黑体"/>
      <w:b/>
      <w:bCs/>
      <w:kern w:val="44"/>
      <w:sz w:val="44"/>
      <w:szCs w:val="44"/>
    </w:rPr>
  </w:style>
  <w:style w:type="character" w:customStyle="1" w:styleId="36">
    <w:name w:val="文档结构图 Char Char"/>
    <w:link w:val="6"/>
    <w:uiPriority w:val="99"/>
    <w:rPr>
      <w:rFonts w:ascii="宋体" w:hAnsi="等线" w:eastAsia="宋体" w:cs="黑体"/>
      <w:sz w:val="18"/>
      <w:szCs w:val="18"/>
    </w:rPr>
  </w:style>
  <w:style w:type="character" w:customStyle="1" w:styleId="37">
    <w:name w:val="日期 Char Char"/>
    <w:link w:val="7"/>
    <w:uiPriority w:val="99"/>
    <w:rPr>
      <w:rFonts w:ascii="等线" w:hAnsi="等线" w:eastAsia="等线" w:cs="黑体"/>
    </w:rPr>
  </w:style>
  <w:style w:type="character" w:customStyle="1" w:styleId="38">
    <w:name w:val="批注框文本 Char Char"/>
    <w:link w:val="8"/>
    <w:uiPriority w:val="99"/>
    <w:rPr>
      <w:rFonts w:ascii="等线" w:hAnsi="等线" w:eastAsia="等线" w:cs="黑体"/>
      <w:sz w:val="18"/>
      <w:szCs w:val="18"/>
    </w:rPr>
  </w:style>
  <w:style w:type="character" w:customStyle="1" w:styleId="39">
    <w:name w:val="脚注文本 Char Char"/>
    <w:link w:val="11"/>
    <w:uiPriority w:val="99"/>
    <w:rPr>
      <w:rFonts w:ascii="Times New Roman" w:hAnsi="Times New Roman" w:eastAsia="楷体_GB2312" w:cs="黑体"/>
      <w:sz w:val="28"/>
      <w:szCs w:val="18"/>
    </w:rPr>
  </w:style>
  <w:style w:type="character" w:customStyle="1" w:styleId="40">
    <w:name w:val="自设标题一 Char Char"/>
    <w:link w:val="20"/>
    <w:qFormat/>
    <w:uiPriority w:val="0"/>
    <w:rPr>
      <w:rFonts w:ascii="Times New Roman" w:hAnsi="Times New Roman" w:eastAsia="方正小标宋简体" w:cs="黑体"/>
      <w:sz w:val="44"/>
    </w:rPr>
  </w:style>
  <w:style w:type="character" w:customStyle="1" w:styleId="41">
    <w:name w:val="自设标题二 Char Char"/>
    <w:link w:val="21"/>
    <w:qFormat/>
    <w:uiPriority w:val="0"/>
    <w:rPr>
      <w:rFonts w:ascii="Times New Roman" w:hAnsi="Times New Roman" w:eastAsia="仿宋_GB2312" w:cs="黑体"/>
      <w:sz w:val="36"/>
    </w:rPr>
  </w:style>
  <w:style w:type="character" w:customStyle="1" w:styleId="42">
    <w:name w:val="自设标题三 Char Char"/>
    <w:link w:val="22"/>
    <w:qFormat/>
    <w:uiPriority w:val="0"/>
    <w:rPr>
      <w:rFonts w:ascii="Times New Roman" w:hAnsi="Times New Roman" w:eastAsia="黑体" w:cs="黑体"/>
      <w:sz w:val="32"/>
    </w:rPr>
  </w:style>
  <w:style w:type="character" w:customStyle="1" w:styleId="43">
    <w:name w:val="自设标题四 Char Char"/>
    <w:link w:val="23"/>
    <w:qFormat/>
    <w:uiPriority w:val="0"/>
    <w:rPr>
      <w:rFonts w:ascii="Times New Roman" w:hAnsi="Times New Roman" w:eastAsia="楷体_GB2312" w:cs="黑体"/>
      <w:sz w:val="32"/>
    </w:rPr>
  </w:style>
  <w:style w:type="character" w:customStyle="1" w:styleId="44">
    <w:name w:val="自设标题五 Char Char"/>
    <w:link w:val="24"/>
    <w:qFormat/>
    <w:uiPriority w:val="0"/>
    <w:rPr>
      <w:rFonts w:ascii="Times New Roman" w:hAnsi="Times New Roman" w:eastAsia="黑体" w:cs="黑体"/>
      <w:sz w:val="32"/>
    </w:rPr>
  </w:style>
  <w:style w:type="character" w:customStyle="1" w:styleId="45">
    <w:name w:val="自设标题六 Char Char"/>
    <w:link w:val="25"/>
    <w:qFormat/>
    <w:uiPriority w:val="0"/>
    <w:rPr>
      <w:rFonts w:ascii="Times New Roman" w:hAnsi="Times New Roman" w:eastAsia="楷体_GB2312" w:cs="黑体"/>
      <w:sz w:val="30"/>
    </w:rPr>
  </w:style>
  <w:style w:type="character" w:customStyle="1" w:styleId="46">
    <w:name w:val="自设副标题二 Char Char"/>
    <w:link w:val="26"/>
    <w:qFormat/>
    <w:uiPriority w:val="0"/>
    <w:rPr>
      <w:rFonts w:ascii="Times New Roman" w:hAnsi="Times New Roman" w:eastAsia="楷体_GB2312" w:cs="黑体"/>
      <w:sz w:val="32"/>
    </w:rPr>
  </w:style>
  <w:style w:type="character" w:customStyle="1" w:styleId="47">
    <w:name w:val="自设副标题一 Char Char"/>
    <w:link w:val="27"/>
    <w:qFormat/>
    <w:uiPriority w:val="0"/>
    <w:rPr>
      <w:rFonts w:ascii="Times New Roman" w:hAnsi="Times New Roman" w:eastAsia="仿宋_GB2312" w:cs="黑体"/>
      <w:sz w:val="32"/>
    </w:rPr>
  </w:style>
  <w:style w:type="character" w:customStyle="1" w:styleId="48">
    <w:name w:val="自设正文 Char Char"/>
    <w:link w:val="28"/>
    <w:qFormat/>
    <w:uiPriority w:val="0"/>
    <w:rPr>
      <w:rFonts w:ascii="Times New Roman" w:hAnsi="Times New Roman" w:eastAsia="仿宋_GB2312" w:cs="黑体"/>
      <w:sz w:val="32"/>
    </w:rPr>
  </w:style>
  <w:style w:type="character" w:customStyle="1" w:styleId="49">
    <w:name w:val="超链接1"/>
    <w:unhideWhenUsed/>
    <w:qFormat/>
    <w:uiPriority w:val="99"/>
    <w:rPr>
      <w:color w:val="0563C1"/>
      <w:u w:val="single"/>
    </w:rPr>
  </w:style>
  <w:style w:type="character" w:customStyle="1" w:styleId="50">
    <w:name w:val="标题 2 Char1"/>
    <w:semiHidden/>
    <w:qFormat/>
    <w:uiPriority w:val="9"/>
    <w:rPr>
      <w:rFonts w:ascii="等线 Light" w:hAnsi="等线 Light" w:eastAsia="等线 Light" w:cs="黑体"/>
      <w:b/>
      <w:bCs/>
      <w:sz w:val="32"/>
      <w:szCs w:val="32"/>
    </w:rPr>
  </w:style>
  <w:style w:type="character" w:customStyle="1" w:styleId="51">
    <w:name w:val="批注文字 Char Char"/>
    <w:link w:val="5"/>
    <w:uiPriority w:val="0"/>
    <w:rPr>
      <w:rFonts w:ascii="等线" w:hAnsi="等线" w:eastAsia="等线" w:cs="黑体"/>
    </w:rPr>
  </w:style>
  <w:style w:type="character" w:customStyle="1" w:styleId="52">
    <w:name w:val="批注主题 Char Char"/>
    <w:link w:val="4"/>
    <w:uiPriority w:val="0"/>
    <w:rPr>
      <w:rFonts w:ascii="等线" w:hAnsi="等线" w:eastAsia="等线" w:cs="黑体"/>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theme" Target="theme/theme1.xml"/><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4747</Words>
  <Characters>27059</Characters>
  <Lines>225</Lines>
  <Paragraphs>63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2020-12-02T00:16:00Z</dcterms:created>
  <dc:creator>ni</dc:creator>
  <cp:lastModifiedBy>caoym</cp:lastModifiedBy>
  <cp:lastPrinted>2020-12-03T01:20:00Z</cp:lastPrinted>
  <dcterms:modified xsi:type="dcterms:W3CDTF">2020-12-15T02:33:37Z</dcterms:modified>
  <dc:title>附件4                                 内部材料 注意保密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