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bCs/>
          <w:sz w:val="28"/>
          <w:szCs w:val="28"/>
        </w:rPr>
      </w:pPr>
      <w:r>
        <w:rPr>
          <w:rFonts w:ascii="黑体" w:hAnsi="黑体" w:eastAsia="黑体" w:cs="方正小标宋简体"/>
          <w:bCs/>
          <w:szCs w:val="32"/>
        </w:rPr>
        <w:t>附件2</w:t>
      </w: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ascii="方正小标宋简体" w:hAnsi="华文中宋" w:eastAsia="方正小标宋简体"/>
          <w:sz w:val="44"/>
          <w:szCs w:val="44"/>
        </w:rPr>
      </w:pPr>
      <w:r>
        <w:rPr>
          <w:rFonts w:ascii="方正小标宋简体" w:hAnsi="华文中宋" w:eastAsia="方正小标宋简体"/>
          <w:sz w:val="44"/>
          <w:szCs w:val="44"/>
        </w:rPr>
        <w:t>2023年郑州市中等职业学校</w:t>
      </w:r>
    </w:p>
    <w:p>
      <w:pPr>
        <w:keepNext w:val="0"/>
        <w:keepLines w:val="0"/>
        <w:pageBreakBefore w:val="0"/>
        <w:widowControl w:val="0"/>
        <w:kinsoku/>
        <w:wordWrap/>
        <w:overflowPunct/>
        <w:topLinePunct w:val="0"/>
        <w:autoSpaceDE/>
        <w:autoSpaceDN/>
        <w:bidi w:val="0"/>
        <w:adjustRightInd/>
        <w:snapToGrid w:val="0"/>
        <w:spacing w:before="0" w:beforeLines="0" w:after="0" w:afterLines="0" w:line="700" w:lineRule="exact"/>
        <w:ind w:left="0" w:leftChars="0" w:right="0" w:rightChars="0" w:firstLine="0" w:firstLineChars="0"/>
        <w:jc w:val="center"/>
        <w:textAlignment w:val="auto"/>
        <w:outlineLvl w:val="9"/>
        <w:rPr>
          <w:rFonts w:ascii="方正小标宋简体" w:hAnsi="华文中宋" w:eastAsia="方正小标宋简体"/>
          <w:sz w:val="44"/>
          <w:szCs w:val="44"/>
        </w:rPr>
      </w:pPr>
      <w:r>
        <w:rPr>
          <w:rFonts w:ascii="方正小标宋简体" w:hAnsi="华文中宋" w:eastAsia="方正小标宋简体"/>
          <w:sz w:val="44"/>
          <w:szCs w:val="44"/>
        </w:rPr>
        <w:t>招 生 工 作 意 见</w:t>
      </w:r>
    </w:p>
    <w:p>
      <w:pPr>
        <w:rPr>
          <w:rFonts w:hint="eastAsia" w:eastAsia="方正小标宋简体"/>
          <w:sz w:val="44"/>
        </w:rPr>
      </w:pP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为确保我市本年度中等职业学校招生工作顺利进行，根据我市实际，现就做好</w:t>
      </w:r>
      <w:r>
        <w:t>202</w:t>
      </w:r>
      <w:r>
        <w:rPr>
          <w:rFonts w:hint="eastAsia"/>
        </w:rPr>
        <w:t>3</w:t>
      </w:r>
      <w:r>
        <w:t>年</w:t>
      </w:r>
      <w:r>
        <w:rPr>
          <w:rFonts w:hint="eastAsia"/>
        </w:rPr>
        <w:t>郑州市中等职业学校招生工作提出以下意见：</w:t>
      </w: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eastAsia="黑体"/>
        </w:rPr>
      </w:pPr>
      <w:r>
        <w:rPr>
          <w:rFonts w:hint="eastAsia" w:eastAsia="黑体"/>
        </w:rPr>
        <w:t>一、招生对象及办法</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jc w:val="both"/>
        <w:textAlignment w:val="auto"/>
        <w:outlineLvl w:val="9"/>
        <w:rPr>
          <w:rFonts w:ascii="楷体_GB2312" w:eastAsia="楷体_GB2312"/>
        </w:rPr>
      </w:pPr>
      <w:r>
        <w:rPr>
          <w:rFonts w:eastAsia="黑体"/>
        </w:rPr>
        <w:tab/>
      </w:r>
      <w:r>
        <w:rPr>
          <w:rFonts w:hint="eastAsia" w:ascii="楷体_GB2312" w:eastAsia="楷体_GB2312"/>
        </w:rPr>
        <w:t>（一）招生</w:t>
      </w:r>
      <w:r>
        <w:rPr>
          <w:rFonts w:ascii="楷体_GB2312" w:eastAsia="楷体_GB2312"/>
        </w:rPr>
        <w:t>对象</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全市各中等职业学校要多方组织生源。在认真做好招收应届初中毕业生的同时，继续面向往届初中毕业生、未升学高中毕业生、退役军人、农村青年、新型职业农民、农民工、生产服务一线职工、下岗失业人员等非应届初中毕业生招生。</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ascii="楷体_GB2312" w:eastAsia="楷体_GB2312"/>
        </w:rPr>
      </w:pPr>
      <w:r>
        <w:rPr>
          <w:rFonts w:hint="eastAsia" w:ascii="楷体_GB2312" w:eastAsia="楷体_GB2312"/>
        </w:rPr>
        <w:t>（二）招生办法</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鼓励具有郑州市区户籍的初中毕业生报考市属中职学校。</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选报郑州市中等职业学校的应届初中毕业生可以参加中招考试，凭中招成绩录取入学，也可以免试注册入学。</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选报郑州市中等职业学校招生的非应届初中毕业生，可直接到</w:t>
      </w:r>
      <w:r>
        <w:t>尚有剩余名额的</w:t>
      </w:r>
      <w:r>
        <w:rPr>
          <w:rFonts w:hint="eastAsia"/>
        </w:rPr>
        <w:t>招生学校注册入学。</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rPr>
      </w:pPr>
      <w:r>
        <w:rPr>
          <w:rFonts w:hint="eastAsia"/>
        </w:rPr>
        <w:t>各学校可采取集中录取、多次补录的方式进行招生，招生时间可分为春季和秋季两个时段。对于春季招收的学生应单独编班，按照正常的教学进度安排教学。</w:t>
      </w:r>
    </w:p>
    <w:p>
      <w:pPr>
        <w:keepNext w:val="0"/>
        <w:keepLines w:val="0"/>
        <w:pageBreakBefore w:val="0"/>
        <w:widowControl w:val="0"/>
        <w:tabs>
          <w:tab w:val="left" w:pos="510"/>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eastAsia="黑体"/>
        </w:rPr>
      </w:pPr>
      <w:r>
        <w:rPr>
          <w:rFonts w:hint="eastAsia" w:eastAsia="黑体"/>
        </w:rPr>
        <w:t>二、报名考试及录取</w:t>
      </w:r>
    </w:p>
    <w:p>
      <w:pPr>
        <w:keepNext w:val="0"/>
        <w:keepLines w:val="0"/>
        <w:pageBreakBefore w:val="0"/>
        <w:widowControl w:val="0"/>
        <w:tabs>
          <w:tab w:val="left" w:pos="675"/>
        </w:tabs>
        <w:kinsoku/>
        <w:wordWrap/>
        <w:overflowPunct/>
        <w:topLinePunct w:val="0"/>
        <w:autoSpaceDN/>
        <w:bidi w:val="0"/>
        <w:adjustRightInd/>
        <w:snapToGrid/>
        <w:spacing w:after="0" w:afterLines="0" w:line="240" w:lineRule="auto"/>
        <w:ind w:left="675" w:right="0" w:rightChars="0"/>
        <w:jc w:val="both"/>
        <w:textAlignment w:val="auto"/>
        <w:outlineLvl w:val="9"/>
        <w:rPr>
          <w:rFonts w:hint="eastAsia" w:ascii="楷体_GB2312" w:eastAsia="楷体_GB2312"/>
        </w:rPr>
      </w:pPr>
      <w:r>
        <w:rPr>
          <w:rFonts w:hint="eastAsia" w:ascii="楷体_GB2312" w:eastAsia="楷体_GB2312"/>
        </w:rPr>
        <w:t>（一）报名及考试</w:t>
      </w: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pPr>
      <w:r>
        <w:rPr>
          <w:rFonts w:hint="eastAsia"/>
        </w:rPr>
        <w:t>郑州市中等职业学校的报名及考试工作由市中招办统一安排。</w:t>
      </w:r>
      <w:r>
        <w:t>区、县（市）</w:t>
      </w:r>
      <w:r>
        <w:rPr>
          <w:rFonts w:hint="eastAsia"/>
        </w:rPr>
        <w:t>属中等职业学校的报名及考试工作在市中招办的统一部署下，由所在</w:t>
      </w:r>
      <w:r>
        <w:t>区、县（市）</w:t>
      </w:r>
      <w:r>
        <w:rPr>
          <w:rFonts w:hint="eastAsia"/>
        </w:rPr>
        <w:t>相关部门自行安排。</w:t>
      </w:r>
      <w:r>
        <w:t xml:space="preserve">                                      </w:t>
      </w: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ascii="楷体_GB2312" w:eastAsia="楷体_GB2312"/>
        </w:rPr>
      </w:pPr>
      <w:r>
        <w:rPr>
          <w:rFonts w:hint="eastAsia" w:ascii="楷体_GB2312" w:eastAsia="楷体_GB2312"/>
        </w:rPr>
        <w:t>（二）报名办法</w:t>
      </w: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具有市区初中学校学籍、并参加考试的应届初中毕业生、同等学力学生和具有郑州市户籍且在外地借读返郑考生可在规定时间内通过“河南省高中阶段教育招生信息服务平台”（http://gzgl.jyt.henan.gov.cn/zk/）进行报名，同时登录“河南省中等职业教育统一招生平台”（https://zsp.zcj.jyt.henan.gov.cn/home）进行报名。</w:t>
      </w:r>
    </w:p>
    <w:p>
      <w:pPr>
        <w:keepNext w:val="0"/>
        <w:keepLines w:val="0"/>
        <w:pageBreakBefore w:val="0"/>
        <w:widowControl w:val="0"/>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未参加中招考试的应、往届初中毕业生或具有同等学力的学生可直接登录“河南省中等职业教育统一招生平台”进行报名。</w:t>
      </w:r>
    </w:p>
    <w:p>
      <w:pPr>
        <w:keepNext w:val="0"/>
        <w:keepLines w:val="0"/>
        <w:pageBreakBefore w:val="0"/>
        <w:widowControl w:val="0"/>
        <w:kinsoku/>
        <w:wordWrap/>
        <w:overflowPunct/>
        <w:topLinePunct w:val="0"/>
        <w:autoSpaceDE w:val="0"/>
        <w:autoSpaceDN/>
        <w:bidi w:val="0"/>
        <w:adjustRightInd/>
        <w:snapToGrid/>
        <w:spacing w:after="0" w:afterLines="0" w:line="240" w:lineRule="auto"/>
        <w:ind w:right="0" w:rightChars="0" w:firstLine="640"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rPr>
        <w:t>3</w:t>
      </w:r>
      <w:r>
        <w:rPr>
          <w:rFonts w:hint="eastAsia" w:ascii="仿宋_GB2312" w:hAnsi="仿宋_GB2312" w:cs="仿宋_GB2312"/>
          <w:color w:val="000000"/>
          <w:lang w:val="en-US" w:eastAsia="zh-CN"/>
        </w:rPr>
        <w:t>.</w:t>
      </w:r>
      <w:r>
        <w:rPr>
          <w:rFonts w:hint="eastAsia" w:ascii="仿宋_GB2312" w:hAnsi="仿宋_GB2312" w:eastAsia="仿宋_GB2312" w:cs="仿宋_GB2312"/>
        </w:rPr>
        <w:t>市中招办对参加中招考试的考生统一编排考场，并发放准考证。</w:t>
      </w:r>
    </w:p>
    <w:p>
      <w:pPr>
        <w:keepNext w:val="0"/>
        <w:keepLines w:val="0"/>
        <w:pageBreakBefore w:val="0"/>
        <w:widowControl w:val="0"/>
        <w:tabs>
          <w:tab w:val="left" w:pos="795"/>
        </w:tabs>
        <w:kinsoku/>
        <w:wordWrap/>
        <w:overflowPunct/>
        <w:topLinePunct w:val="0"/>
        <w:autoSpaceDN/>
        <w:bidi w:val="0"/>
        <w:adjustRightInd/>
        <w:snapToGrid/>
        <w:spacing w:after="0" w:afterLines="0" w:line="240" w:lineRule="auto"/>
        <w:ind w:right="0" w:rightChars="0"/>
        <w:jc w:val="both"/>
        <w:textAlignment w:val="auto"/>
        <w:outlineLvl w:val="9"/>
        <w:rPr>
          <w:rFonts w:hint="eastAsia" w:ascii="楷体_GB2312" w:eastAsia="楷体_GB2312"/>
        </w:rPr>
      </w:pPr>
      <w:r>
        <w:rPr>
          <w:rFonts w:hint="eastAsia" w:ascii="楷体_GB2312" w:eastAsia="楷体_GB2312"/>
          <w:lang w:val="en-US" w:eastAsia="zh-CN"/>
        </w:rPr>
        <w:t xml:space="preserve">    </w:t>
      </w:r>
      <w:r>
        <w:rPr>
          <w:rFonts w:hint="eastAsia" w:ascii="楷体_GB2312" w:eastAsia="楷体_GB2312"/>
        </w:rPr>
        <w:t>（三）填报志愿</w:t>
      </w:r>
    </w:p>
    <w:p>
      <w:pPr>
        <w:keepNext w:val="0"/>
        <w:keepLines w:val="0"/>
        <w:pageBreakBefore w:val="0"/>
        <w:widowControl w:val="0"/>
        <w:tabs>
          <w:tab w:val="left" w:pos="635"/>
        </w:tabs>
        <w:kinsoku/>
        <w:wordWrap/>
        <w:overflowPunct/>
        <w:topLinePunct w:val="0"/>
        <w:autoSpaceDN/>
        <w:bidi w:val="0"/>
        <w:adjustRightInd/>
        <w:snapToGrid/>
        <w:spacing w:after="0" w:afterLines="0" w:line="240" w:lineRule="auto"/>
        <w:ind w:right="0" w:rightChars="0"/>
        <w:jc w:val="both"/>
        <w:textAlignment w:val="auto"/>
        <w:outlineLvl w:val="9"/>
        <w:rPr>
          <w:rFonts w:hint="eastAsia" w:ascii="仿宋_GB2312"/>
        </w:rPr>
      </w:pPr>
      <w:r>
        <w:rPr>
          <w:rFonts w:ascii="仿宋_GB2312"/>
        </w:rPr>
        <w:tab/>
      </w:r>
      <w:r>
        <w:rPr>
          <w:rFonts w:hint="eastAsia" w:ascii="仿宋_GB2312"/>
        </w:rPr>
        <w:t>报考郑州市中等职业学校的考生须填报学校名称并选择1～2个专业。</w:t>
      </w:r>
    </w:p>
    <w:p>
      <w:pPr>
        <w:keepNext w:val="0"/>
        <w:keepLines w:val="0"/>
        <w:pageBreakBefore w:val="0"/>
        <w:widowControl w:val="0"/>
        <w:tabs>
          <w:tab w:val="left" w:pos="795"/>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ascii="仿宋_GB2312"/>
        </w:rPr>
      </w:pPr>
      <w:r>
        <w:rPr>
          <w:rFonts w:ascii="仿宋_GB2312"/>
        </w:rPr>
        <w:t>区、县（市）初中毕业生</w:t>
      </w:r>
      <w:r>
        <w:rPr>
          <w:rFonts w:hint="eastAsia" w:ascii="仿宋_GB2312"/>
        </w:rPr>
        <w:t>的志愿填报办法由所在</w:t>
      </w:r>
      <w:r>
        <w:rPr>
          <w:rFonts w:ascii="仿宋_GB2312"/>
        </w:rPr>
        <w:t>区、县（市）</w:t>
      </w:r>
      <w:r>
        <w:rPr>
          <w:rFonts w:hint="eastAsia" w:ascii="仿宋_GB2312"/>
        </w:rPr>
        <w:t>相关部门制定。</w:t>
      </w:r>
    </w:p>
    <w:p>
      <w:pPr>
        <w:keepNext w:val="0"/>
        <w:keepLines w:val="0"/>
        <w:pageBreakBefore w:val="0"/>
        <w:widowControl w:val="0"/>
        <w:tabs>
          <w:tab w:val="left" w:pos="585"/>
        </w:tabs>
        <w:kinsoku/>
        <w:wordWrap/>
        <w:overflowPunct/>
        <w:topLinePunct w:val="0"/>
        <w:autoSpaceDN/>
        <w:bidi w:val="0"/>
        <w:adjustRightInd/>
        <w:snapToGrid/>
        <w:spacing w:after="0" w:afterLines="0" w:line="240" w:lineRule="auto"/>
        <w:ind w:right="0" w:rightChars="0"/>
        <w:jc w:val="both"/>
        <w:textAlignment w:val="auto"/>
        <w:outlineLvl w:val="9"/>
        <w:rPr>
          <w:rFonts w:hint="eastAsia" w:ascii="楷体_GB2312" w:eastAsia="楷体_GB2312"/>
        </w:rPr>
      </w:pPr>
      <w:r>
        <w:rPr>
          <w:rFonts w:ascii="仿宋_GB2312"/>
        </w:rPr>
        <w:tab/>
      </w:r>
      <w:r>
        <w:rPr>
          <w:rFonts w:hint="eastAsia" w:ascii="楷体_GB2312" w:eastAsia="楷体_GB2312"/>
        </w:rPr>
        <w:t xml:space="preserve">（四）新生录取 </w:t>
      </w:r>
    </w:p>
    <w:p>
      <w:pPr>
        <w:keepNext w:val="0"/>
        <w:keepLines w:val="0"/>
        <w:pageBreakBefore w:val="0"/>
        <w:widowControl w:val="0"/>
        <w:tabs>
          <w:tab w:val="left" w:pos="635"/>
        </w:tabs>
        <w:kinsoku/>
        <w:wordWrap/>
        <w:overflowPunct/>
        <w:topLinePunct w:val="0"/>
        <w:autoSpaceDN/>
        <w:bidi w:val="0"/>
        <w:adjustRightInd/>
        <w:snapToGrid/>
        <w:spacing w:after="0" w:afterLines="0" w:line="240" w:lineRule="auto"/>
        <w:ind w:right="0" w:rightChars="0" w:firstLine="640"/>
        <w:jc w:val="both"/>
        <w:textAlignment w:val="auto"/>
        <w:outlineLvl w:val="9"/>
        <w:rPr>
          <w:rFonts w:hint="eastAsia"/>
        </w:rPr>
      </w:pPr>
      <w:r>
        <w:rPr>
          <w:rFonts w:hint="eastAsia" w:ascii="仿宋_GB2312"/>
        </w:rPr>
        <w:t>1</w:t>
      </w:r>
      <w:r>
        <w:rPr>
          <w:rFonts w:hint="eastAsia" w:ascii="仿宋_GB2312"/>
          <w:lang w:val="en-US" w:eastAsia="zh-CN"/>
        </w:rPr>
        <w:t>.</w:t>
      </w:r>
      <w:r>
        <w:rPr>
          <w:rFonts w:hint="eastAsia"/>
        </w:rPr>
        <w:t>鼓励省级高水平中职学校（专业）、省级示范校（专业）、特色校（专业），在参加中招考试、并选报有中职学校志愿的初中毕业生中依照中招成绩择优录取。</w:t>
      </w:r>
    </w:p>
    <w:p>
      <w:pPr>
        <w:keepNext w:val="0"/>
        <w:keepLines w:val="0"/>
        <w:pageBreakBefore w:val="0"/>
        <w:widowControl w:val="0"/>
        <w:tabs>
          <w:tab w:val="left" w:pos="635"/>
        </w:tabs>
        <w:kinsoku/>
        <w:wordWrap/>
        <w:overflowPunct/>
        <w:topLinePunct w:val="0"/>
        <w:autoSpaceDN/>
        <w:bidi w:val="0"/>
        <w:adjustRightInd/>
        <w:snapToGrid/>
        <w:spacing w:after="0" w:afterLines="0" w:line="240" w:lineRule="auto"/>
        <w:ind w:right="0" w:rightChars="0" w:firstLine="640"/>
        <w:jc w:val="both"/>
        <w:textAlignment w:val="auto"/>
        <w:outlineLvl w:val="9"/>
        <w:rPr>
          <w:rFonts w:hint="eastAsia"/>
        </w:rPr>
      </w:pPr>
      <w:r>
        <w:rPr>
          <w:rFonts w:ascii="仿宋_GB2312"/>
        </w:rPr>
        <w:t>2.</w:t>
      </w:r>
      <w:r>
        <w:rPr>
          <w:rFonts w:hint="eastAsia" w:ascii="仿宋_GB2312"/>
        </w:rPr>
        <w:t>报</w:t>
      </w:r>
      <w:r>
        <w:rPr>
          <w:rFonts w:hint="eastAsia"/>
        </w:rPr>
        <w:t>名注册学生多于招生计划或所设专业对文化课要求较高的学校，可通过考试择优录取；根据专业需要进行面试或专业加试的学校，可优先录取成绩优秀者（面试或专业加试的具体时间由招生学校确定）。</w:t>
      </w:r>
      <w:r>
        <w:rPr>
          <w:rFonts w:hint="eastAsia"/>
        </w:rPr>
        <w:tab/>
      </w:r>
    </w:p>
    <w:p>
      <w:pPr>
        <w:keepNext w:val="0"/>
        <w:keepLines w:val="0"/>
        <w:pageBreakBefore w:val="0"/>
        <w:widowControl w:val="0"/>
        <w:tabs>
          <w:tab w:val="left" w:pos="635"/>
        </w:tabs>
        <w:kinsoku/>
        <w:wordWrap/>
        <w:overflowPunct/>
        <w:topLinePunct w:val="0"/>
        <w:autoSpaceDN/>
        <w:bidi w:val="0"/>
        <w:adjustRightInd/>
        <w:snapToGrid/>
        <w:spacing w:after="0" w:afterLines="0" w:line="240" w:lineRule="auto"/>
        <w:ind w:right="0" w:rightChars="0" w:firstLine="640"/>
        <w:jc w:val="both"/>
        <w:textAlignment w:val="auto"/>
        <w:outlineLvl w:val="9"/>
        <w:rPr>
          <w:rFonts w:ascii="仿宋_GB2312"/>
        </w:rPr>
      </w:pPr>
      <w:r>
        <w:rPr>
          <w:rFonts w:ascii="仿宋_GB2312"/>
        </w:rPr>
        <w:t>3</w:t>
      </w:r>
      <w:r>
        <w:rPr>
          <w:rFonts w:hint="eastAsia" w:ascii="仿宋_GB2312"/>
          <w:lang w:val="en-US" w:eastAsia="zh-CN"/>
        </w:rPr>
        <w:t>.</w:t>
      </w:r>
      <w:r>
        <w:rPr>
          <w:rFonts w:hint="eastAsia" w:ascii="仿宋_GB2312"/>
        </w:rPr>
        <w:t>未被普通高中录取的考生，可</w:t>
      </w:r>
      <w:r>
        <w:rPr>
          <w:rFonts w:hint="eastAsia"/>
        </w:rPr>
        <w:t>登录“河南省中等职业教育统一招生平台”直接进行报名</w:t>
      </w:r>
      <w:r>
        <w:rPr>
          <w:rFonts w:hint="eastAsia" w:ascii="仿宋_GB2312"/>
        </w:rPr>
        <w:t>。</w:t>
      </w:r>
    </w:p>
    <w:p>
      <w:pPr>
        <w:keepNext w:val="0"/>
        <w:keepLines w:val="0"/>
        <w:pageBreakBefore w:val="0"/>
        <w:widowControl w:val="0"/>
        <w:tabs>
          <w:tab w:val="left" w:pos="635"/>
        </w:tabs>
        <w:kinsoku/>
        <w:wordWrap/>
        <w:overflowPunct/>
        <w:topLinePunct w:val="0"/>
        <w:autoSpaceDN/>
        <w:bidi w:val="0"/>
        <w:adjustRightInd/>
        <w:snapToGrid/>
        <w:spacing w:after="0" w:afterLines="0" w:line="240" w:lineRule="auto"/>
        <w:ind w:right="0" w:rightChars="0"/>
        <w:jc w:val="both"/>
        <w:textAlignment w:val="auto"/>
        <w:outlineLvl w:val="9"/>
        <w:rPr>
          <w:rFonts w:ascii="仿宋_GB2312"/>
        </w:rPr>
      </w:pPr>
      <w:r>
        <w:rPr>
          <w:rFonts w:ascii="仿宋_GB2312"/>
        </w:rPr>
        <w:tab/>
      </w:r>
      <w:r>
        <w:rPr>
          <w:rFonts w:ascii="仿宋_GB2312"/>
        </w:rPr>
        <w:t>4</w:t>
      </w:r>
      <w:r>
        <w:rPr>
          <w:rFonts w:hint="eastAsia" w:ascii="仿宋_GB2312"/>
          <w:lang w:val="en-US" w:eastAsia="zh-CN"/>
        </w:rPr>
        <w:t>.</w:t>
      </w:r>
      <w:r>
        <w:rPr>
          <w:rFonts w:hint="eastAsia" w:ascii="仿宋_GB2312"/>
        </w:rPr>
        <w:t>各中等职业学校要严格按照学籍注册管理规定，及时做好新生相关信息的录入工作，并确保信息资料的准确无误，为学生学籍管理、助学金发放、减免学费及毕业证办理工作提供依据。</w:t>
      </w:r>
    </w:p>
    <w:p>
      <w:pPr>
        <w:keepNext w:val="0"/>
        <w:keepLines w:val="0"/>
        <w:pageBreakBefore w:val="0"/>
        <w:widowControl w:val="0"/>
        <w:tabs>
          <w:tab w:val="left" w:pos="795"/>
        </w:tabs>
        <w:kinsoku/>
        <w:wordWrap/>
        <w:overflowPunct/>
        <w:topLinePunct w:val="0"/>
        <w:autoSpaceDN/>
        <w:bidi w:val="0"/>
        <w:adjustRightInd/>
        <w:snapToGrid/>
        <w:spacing w:after="0" w:afterLines="0" w:line="240" w:lineRule="auto"/>
        <w:ind w:right="0" w:rightChars="0"/>
        <w:jc w:val="both"/>
        <w:textAlignment w:val="auto"/>
        <w:outlineLvl w:val="9"/>
        <w:rPr>
          <w:rFonts w:hint="eastAsia" w:ascii="仿宋_GB2312"/>
          <w:szCs w:val="32"/>
        </w:rPr>
      </w:pPr>
      <w:r>
        <w:rPr>
          <w:rFonts w:hint="eastAsia" w:ascii="黑体" w:eastAsia="黑体"/>
          <w:lang w:val="en-US" w:eastAsia="zh-CN"/>
        </w:rPr>
        <w:t xml:space="preserve">    </w:t>
      </w:r>
      <w:r>
        <w:rPr>
          <w:rFonts w:hint="eastAsia" w:ascii="黑体" w:eastAsia="黑体"/>
        </w:rPr>
        <w:t>三、有关事项及要求</w:t>
      </w:r>
    </w:p>
    <w:p>
      <w:pPr>
        <w:keepNext w:val="0"/>
        <w:keepLines w:val="0"/>
        <w:pageBreakBefore w:val="0"/>
        <w:widowControl w:val="0"/>
        <w:tabs>
          <w:tab w:val="left" w:pos="585"/>
        </w:tabs>
        <w:kinsoku/>
        <w:wordWrap/>
        <w:overflowPunct/>
        <w:topLinePunct w:val="0"/>
        <w:autoSpaceDN/>
        <w:bidi w:val="0"/>
        <w:adjustRightInd/>
        <w:snapToGrid/>
        <w:spacing w:after="0" w:afterLines="0" w:line="240" w:lineRule="auto"/>
        <w:ind w:right="0" w:rightChars="0" w:firstLine="640"/>
        <w:jc w:val="both"/>
        <w:textAlignment w:val="auto"/>
        <w:outlineLvl w:val="9"/>
        <w:rPr>
          <w:rFonts w:hint="eastAsia" w:ascii="仿宋_GB2312"/>
        </w:rPr>
      </w:pPr>
      <w:r>
        <w:rPr>
          <w:rFonts w:hint="eastAsia" w:ascii="仿宋_GB2312"/>
        </w:rPr>
        <w:t>（一）各</w:t>
      </w:r>
      <w:r>
        <w:rPr>
          <w:rFonts w:ascii="仿宋_GB2312"/>
        </w:rPr>
        <w:t>区、县（市）</w:t>
      </w:r>
      <w:r>
        <w:rPr>
          <w:rFonts w:hint="eastAsia" w:ascii="仿宋_GB2312"/>
        </w:rPr>
        <w:t>教育行政部门、各中等职业学校要结合当地实际制定招生宣传方案，利用各种媒体，进一步加大招生工作宣传力度。宣传国家、省、市关于大力发展职业教育的各项政策，着力营造促进职业教育发展的良好氛围。</w:t>
      </w:r>
    </w:p>
    <w:p>
      <w:pPr>
        <w:keepNext w:val="0"/>
        <w:keepLines w:val="0"/>
        <w:pageBreakBefore w:val="0"/>
        <w:widowControl w:val="0"/>
        <w:tabs>
          <w:tab w:val="left" w:pos="585"/>
        </w:tabs>
        <w:kinsoku/>
        <w:wordWrap/>
        <w:overflowPunct/>
        <w:topLinePunct w:val="0"/>
        <w:autoSpaceDN/>
        <w:bidi w:val="0"/>
        <w:adjustRightInd/>
        <w:snapToGrid/>
        <w:spacing w:after="0" w:afterLines="0" w:line="240" w:lineRule="auto"/>
        <w:ind w:right="0" w:rightChars="0" w:firstLine="640"/>
        <w:jc w:val="both"/>
        <w:textAlignment w:val="auto"/>
        <w:outlineLvl w:val="9"/>
        <w:rPr>
          <w:rFonts w:hint="eastAsia" w:ascii="仿宋_GB2312"/>
        </w:rPr>
      </w:pPr>
      <w:r>
        <w:rPr>
          <w:rFonts w:hint="eastAsia" w:ascii="仿宋_GB2312"/>
        </w:rPr>
        <w:t>（二）各中等职业学校要</w:t>
      </w:r>
      <w:r>
        <w:rPr>
          <w:rFonts w:ascii="仿宋_GB2312"/>
        </w:rPr>
        <w:t>坚持服务发展总原则，按照职业教育</w:t>
      </w:r>
      <w:r>
        <w:rPr>
          <w:rFonts w:hint="eastAsia" w:ascii="仿宋_GB2312"/>
        </w:rPr>
        <w:t>“</w:t>
      </w:r>
      <w:r>
        <w:rPr>
          <w:rFonts w:ascii="仿宋_GB2312"/>
        </w:rPr>
        <w:t>提质培优</w:t>
      </w:r>
      <w:r>
        <w:rPr>
          <w:rFonts w:hint="eastAsia" w:ascii="仿宋_GB2312"/>
        </w:rPr>
        <w:t>”</w:t>
      </w:r>
      <w:r>
        <w:rPr>
          <w:rFonts w:ascii="仿宋_GB2312"/>
        </w:rPr>
        <w:t>的目标要求</w:t>
      </w:r>
      <w:r>
        <w:rPr>
          <w:rFonts w:hint="eastAsia" w:ascii="仿宋_GB2312"/>
        </w:rPr>
        <w:t>，紧密结合地方产业结构调整需求，及时进行专业调整，积极创造条件，增设经济社会发展急需的新专业，提高职业教育服务我市经济和社会发展的能力。</w:t>
      </w:r>
    </w:p>
    <w:p>
      <w:pPr>
        <w:keepNext w:val="0"/>
        <w:keepLines w:val="0"/>
        <w:pageBreakBefore w:val="0"/>
        <w:widowControl w:val="0"/>
        <w:tabs>
          <w:tab w:val="left" w:pos="585"/>
        </w:tabs>
        <w:kinsoku/>
        <w:wordWrap/>
        <w:overflowPunct/>
        <w:topLinePunct w:val="0"/>
        <w:autoSpaceDN/>
        <w:bidi w:val="0"/>
        <w:adjustRightInd/>
        <w:snapToGrid/>
        <w:spacing w:after="0" w:afterLines="0" w:line="240" w:lineRule="auto"/>
        <w:ind w:right="0" w:rightChars="0" w:firstLine="640"/>
        <w:jc w:val="both"/>
        <w:textAlignment w:val="auto"/>
        <w:outlineLvl w:val="9"/>
        <w:rPr>
          <w:rFonts w:hint="eastAsia" w:ascii="仿宋_GB2312"/>
        </w:rPr>
      </w:pPr>
      <w:r>
        <w:rPr>
          <w:rFonts w:hint="eastAsia" w:ascii="仿宋_GB2312"/>
          <w:lang w:eastAsia="zh-CN"/>
        </w:rPr>
        <w:t>（三）</w:t>
      </w:r>
      <w:r>
        <w:rPr>
          <w:rFonts w:hint="eastAsia" w:ascii="仿宋_GB2312"/>
        </w:rPr>
        <w:t>各区、县(市)教育行政部门和各中职学校、初中学校要严格执行国家和省有关中等职业教育招生的规定和政策，进一步建立健全管理制度，规范招生行为，严格遵守“五个严禁”。严格执行物价部门核定的收费标准。各学校不得以联合招生、合作办学的名义随意设立分校或校外办学点以及违规收费。</w:t>
      </w:r>
    </w:p>
    <w:p>
      <w:pPr>
        <w:keepNext w:val="0"/>
        <w:keepLines w:val="0"/>
        <w:pageBreakBefore w:val="0"/>
        <w:widowControl w:val="0"/>
        <w:tabs>
          <w:tab w:val="left" w:pos="585"/>
        </w:tabs>
        <w:kinsoku/>
        <w:wordWrap/>
        <w:overflowPunct/>
        <w:topLinePunct w:val="0"/>
        <w:autoSpaceDN/>
        <w:bidi w:val="0"/>
        <w:adjustRightInd/>
        <w:snapToGrid/>
        <w:spacing w:after="0" w:afterLines="0" w:line="240" w:lineRule="auto"/>
        <w:ind w:right="0" w:rightChars="0" w:firstLine="640" w:firstLineChars="200"/>
        <w:jc w:val="both"/>
        <w:textAlignment w:val="auto"/>
        <w:outlineLvl w:val="9"/>
        <w:rPr>
          <w:rFonts w:hint="eastAsia" w:ascii="仿宋_GB2312"/>
        </w:rPr>
      </w:pPr>
      <w:r>
        <w:rPr>
          <w:rFonts w:hint="eastAsia" w:ascii="仿宋_GB2312"/>
        </w:rPr>
        <w:t>（四）各</w:t>
      </w:r>
      <w:r>
        <w:rPr>
          <w:rFonts w:ascii="仿宋_GB2312"/>
        </w:rPr>
        <w:t>区、县（市）</w:t>
      </w:r>
      <w:r>
        <w:rPr>
          <w:rFonts w:hint="eastAsia" w:ascii="仿宋_GB2312"/>
        </w:rPr>
        <w:t>教育部门、市属各中等职业学校要严格执行招生工作旬报、月报制度，及时将招生工作中存在的问题和招生进度上报市教育局。</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r>
        <w:rPr>
          <w:rFonts w:hint="eastAsia" w:ascii="仿宋_GB2312" w:hAnsi="仿宋_GB2312" w:cs="仿宋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0" w:afterLines="0" w:line="240" w:lineRule="auto"/>
        <w:ind w:right="0" w:rightChars="0"/>
        <w:jc w:val="both"/>
        <w:textAlignment w:val="auto"/>
        <w:outlineLvl w:val="9"/>
        <w:rPr>
          <w:rFonts w:hint="eastAsia" w:ascii="仿宋_GB2312" w:hAnsi="仿宋_GB2312" w:cs="仿宋_GB2312"/>
          <w:spacing w:val="0"/>
          <w:sz w:val="32"/>
          <w:szCs w:val="32"/>
          <w:lang w:val="en-US" w:eastAsia="zh-CN"/>
        </w:rPr>
      </w:pPr>
      <w:bookmarkStart w:id="0" w:name="_GoBack"/>
      <w:bookmarkEnd w:id="0"/>
    </w:p>
    <w:p/>
    <w:sectPr>
      <w:headerReference r:id="rId3" w:type="default"/>
      <w:footerReference r:id="rId4" w:type="default"/>
      <w:pgSz w:w="11907" w:h="16840"/>
      <w:pgMar w:top="2098" w:right="1417" w:bottom="2098" w:left="1531" w:header="851" w:footer="1474" w:gutter="0"/>
      <w:pgNumType w:fmt="decimal"/>
      <w:cols w:space="720" w:num="1"/>
      <w:docGrid w:type="linesAndChars" w:linePitch="559" w:charSpace="-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6"/>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6"/>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PAGE  </w:instrText>
                    </w:r>
                    <w:r>
                      <w:rPr>
                        <w:rFonts w:hint="eastAsia" w:ascii="宋体" w:hAnsi="宋体" w:eastAsia="宋体" w:cs="宋体"/>
                        <w:sz w:val="28"/>
                      </w:rPr>
                      <w:fldChar w:fldCharType="separate"/>
                    </w:r>
                    <w:r>
                      <w:rPr>
                        <w:rStyle w:val="6"/>
                        <w:rFonts w:hint="eastAsia" w:ascii="宋体" w:hAnsi="宋体" w:eastAsia="宋体" w:cs="宋体"/>
                        <w:sz w:val="28"/>
                      </w:rPr>
                      <w:t>1</w:t>
                    </w:r>
                    <w:r>
                      <w:rPr>
                        <w:rFonts w:hint="eastAsia" w:ascii="宋体" w:hAnsi="宋体" w:eastAsia="宋体" w:cs="宋体"/>
                        <w:sz w:val="28"/>
                      </w:rPr>
                      <w:fldChar w:fldCharType="end"/>
                    </w:r>
                    <w:r>
                      <w:rPr>
                        <w:rFonts w:hint="eastAsia" w:ascii="宋体" w:hAnsi="宋体" w:eastAsia="宋体" w:cs="宋体"/>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0YjUxYjQ1OTNjZWUyYjJkZTcyNWExODRjNjI1ZDIifQ=="/>
  </w:docVars>
  <w:rsids>
    <w:rsidRoot w:val="313330EC"/>
    <w:rsid w:val="313330EC"/>
    <w:rsid w:val="7484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1472</Words>
  <Characters>1552</Characters>
  <Lines>0</Lines>
  <Paragraphs>0</Paragraphs>
  <TotalTime>2</TotalTime>
  <ScaleCrop>false</ScaleCrop>
  <LinksUpToDate>false</LinksUpToDate>
  <CharactersWithSpaces>1641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2023-05-19T02:53:00Z</dcterms:created>
  <dc:creator>Administrator</dc:creator>
  <cp:lastModifiedBy>Administrator</cp:lastModifiedBy>
  <dcterms:modified xsi:type="dcterms:W3CDTF">2023-05-19T02:59:57Z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80E3C95A8C484816BED7D812138FD54F_11</vt:lpwstr>
  </property>
</Properties>
</file>